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/>
      </w:pPr>
      <w:r>
        <w:rPr>
          <w:b/>
          <w:bCs/>
          <w:i w:val="false"/>
          <w:iCs w:val="false"/>
          <w:sz w:val="24"/>
          <w:szCs w:val="24"/>
        </w:rPr>
        <w:t xml:space="preserve">ANNEX IV: BUDGET BREAKDOWN (Model financial offer) - LOT 1</w:t>
      </w:r>
    </w:p>
    <w:p>
      <w:pPr>
        <w:spacing w:after="100"/>
      </w:pPr>
      <w:r>
        <w:rPr>
          <w:b/>
          <w:bCs/>
          <w:i w:val="false"/>
          <w:iCs w:val="false"/>
          <w:sz w:val="20"/>
          <w:szCs w:val="20"/>
        </w:rPr>
        <w:t xml:space="preserve">Contract title: Supply of IT and data-centre equipment for the NINET data centre in Niš</w:t>
      </w:r>
    </w:p>
    <w:p>
      <w:pPr>
        <w:spacing w:after="140"/>
      </w:pPr>
      <w:r>
        <w:rPr>
          <w:b/>
          <w:bCs/>
          <w:i w:val="false"/>
          <w:iCs w:val="false"/>
          <w:sz w:val="20"/>
          <w:szCs w:val="20"/>
        </w:rPr>
        <w:t xml:space="preserve">Publication reference: BGRS0500152-TD01-PP2</w:t>
      </w:r>
    </w:p>
    <w:p>
      <w:pPr>
        <w:spacing w:after="140"/>
      </w:pPr>
      <w:r>
        <w:rPr>
          <w:b w:val="false"/>
          <w:bCs w:val="false"/>
          <w:i/>
          <w:iCs/>
          <w:sz w:val="18"/>
          <w:szCs w:val="18"/>
        </w:rPr>
        <w:t xml:space="preserve">This form covers Lot 1 only. A separate financial offer form is provided for each lot; complete only the lot(s) you are bidding for. Award is made per lot to the lowest-priced technically compliant tender.</w:t>
      </w:r>
    </w:p>
    <w:p>
      <w:pPr>
        <w:spacing w:after="140"/>
      </w:pPr>
      <w:r>
        <w:rPr>
          <w:b w:val="false"/>
          <w:bCs w:val="false"/>
          <w:i/>
          <w:iCs/>
          <w:sz w:val="18"/>
          <w:szCs w:val="18"/>
        </w:rPr>
        <w:t xml:space="preserve">Nota bene: Prices shall be quoted in EUR, on a DDP (Delivered Duty Paid) basis to the NINET data centre, Bulevar Nemanjića 25, TC Zona 3 lok. K6, 18000 Niš, Serbia, VAT excluded. VAT, if applicable, shall be indicated separately. Prices are fixed and not subject to revision.</w:t>
      </w:r>
    </w:p>
    <w:p>
      <w:pPr>
        <w:spacing w:after="1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Name of tenderer: ______________________________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40"/>
        <w:gridCol w:w="3760"/>
        <w:gridCol w:w="700"/>
        <w:gridCol w:w="1950"/>
        <w:gridCol w:w="1976"/>
      </w:tblGrid>
      <w:tr>
        <w:trPr>
          <w:tblHeader/>
        </w:trPr>
        <w:tc>
          <w:tcPr>
            <w:tcW w:type="dxa" w:w="64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1F4E79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Item</w:t>
            </w:r>
          </w:p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No.</w:t>
            </w:r>
          </w:p>
        </w:tc>
        <w:tc>
          <w:tcPr>
            <w:tcW w:type="dxa" w:w="376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1F4E79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Description</w:t>
            </w:r>
          </w:p>
        </w:tc>
        <w:tc>
          <w:tcPr>
            <w:tcW w:type="dxa" w:w="7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1F4E79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Qty</w:t>
            </w:r>
          </w:p>
        </w:tc>
        <w:tc>
          <w:tcPr>
            <w:tcW w:type="dxa" w:w="195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1F4E79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Unit price</w:t>
            </w:r>
          </w:p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EUR (DDP, VAT excl.)</w:t>
            </w:r>
          </w:p>
        </w:tc>
        <w:tc>
          <w:tcPr>
            <w:tcW w:type="dxa" w:w="1976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1F4E79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Total price</w:t>
            </w:r>
          </w:p>
          <w:p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EUR (VAT excl.)</w:t>
            </w:r>
          </w:p>
        </w:tc>
      </w:tr>
      <w:tr>
        <w:tc>
          <w:tcPr>
            <w:tcW w:type="dxa" w:w="9026"/>
            <w:gridSpan w:val="5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D9E2F3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/>
                <w:bCs/>
                <w:sz w:val="20"/>
                <w:szCs w:val="20"/>
              </w:rPr>
              <w:t>LOT 1 - Racks and UPS equipment</w:t>
            </w:r>
          </w:p>
        </w:tc>
      </w:tr>
      <w:tr>
        <w:tc>
          <w:tcPr>
            <w:tcW w:type="dxa" w:w="64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</w:t>
            </w:r>
          </w:p>
        </w:tc>
        <w:tc>
          <w:tcPr>
            <w:tcW w:type="dxa" w:w="376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UPS 20 kVA, 400 V, 3:1 (online double-conversion) with Parallel Operation Kit, battery strings, communications, and Rack ATS (230 V AC, 10 A, dual input, door + smoke sensor)</w:t>
            </w:r>
          </w:p>
        </w:tc>
        <w:tc>
          <w:tcPr>
            <w:tcW w:type="dxa" w:w="7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</w:t>
            </w:r>
          </w:p>
        </w:tc>
        <w:tc>
          <w:tcPr>
            <w:tcW w:type="dxa" w:w="195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976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64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</w:t>
            </w:r>
          </w:p>
        </w:tc>
        <w:tc>
          <w:tcPr>
            <w:tcW w:type="dxa" w:w="376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Network management card</w:t>
            </w:r>
          </w:p>
        </w:tc>
        <w:tc>
          <w:tcPr>
            <w:tcW w:type="dxa" w:w="7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</w:t>
            </w:r>
          </w:p>
        </w:tc>
        <w:tc>
          <w:tcPr>
            <w:tcW w:type="dxa" w:w="195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976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64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</w:t>
            </w:r>
          </w:p>
        </w:tc>
        <w:tc>
          <w:tcPr>
            <w:tcW w:type="dxa" w:w="376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Rack cabinet, 42U (min. depth 1100 mm), perforated doors, cable mgmt, adjustable rails</w:t>
            </w:r>
          </w:p>
        </w:tc>
        <w:tc>
          <w:tcPr>
            <w:tcW w:type="dxa" w:w="7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</w:t>
            </w:r>
          </w:p>
        </w:tc>
        <w:tc>
          <w:tcPr>
            <w:tcW w:type="dxa" w:w="195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976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64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4</w:t>
            </w:r>
          </w:p>
        </w:tc>
        <w:tc>
          <w:tcPr>
            <w:tcW w:type="dxa" w:w="376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PDU, metered (IEC C13/C19, 16–32 A, digital current meter)</w:t>
            </w:r>
          </w:p>
        </w:tc>
        <w:tc>
          <w:tcPr>
            <w:tcW w:type="dxa" w:w="7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</w:t>
            </w:r>
          </w:p>
        </w:tc>
        <w:tc>
          <w:tcPr>
            <w:tcW w:type="dxa" w:w="195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976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64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5</w:t>
            </w:r>
          </w:p>
        </w:tc>
        <w:tc>
          <w:tcPr>
            <w:tcW w:type="dxa" w:w="376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Environmental monitor (main)</w:t>
            </w:r>
          </w:p>
        </w:tc>
        <w:tc>
          <w:tcPr>
            <w:tcW w:type="dxa" w:w="7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3</w:t>
            </w:r>
          </w:p>
        </w:tc>
        <w:tc>
          <w:tcPr>
            <w:tcW w:type="dxa" w:w="195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976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64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6</w:t>
            </w:r>
          </w:p>
        </w:tc>
        <w:tc>
          <w:tcPr>
            <w:tcW w:type="dxa" w:w="376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>Temperature &amp; humidity sensors</w:t>
            </w:r>
          </w:p>
        </w:tc>
        <w:tc>
          <w:tcPr>
            <w:tcW w:type="dxa" w:w="7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2</w:t>
            </w:r>
          </w:p>
        </w:tc>
        <w:tc>
          <w:tcPr>
            <w:tcW w:type="dxa" w:w="195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976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64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7</w:t>
            </w:r>
          </w:p>
        </w:tc>
        <w:tc>
          <w:tcPr>
            <w:tcW w:type="dxa" w:w="376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>Delivery, electrical and cabling works, installation, user training and commissioning at NINET DC (&gt;= 2 days). LUMP SUM: all works required to supply the UPS and the 3 racks from the existing distribution panel, complete, tested and operational. Site visit 7 August 2026.</w:t>
            </w:r>
          </w:p>
        </w:tc>
        <w:tc>
          <w:tcPr>
            <w:tcW w:type="dxa" w:w="70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8"/>
                <w:szCs w:val="18"/>
              </w:rPr>
              <w:t xml:space="preserve">1 (lump sum)</w:t>
            </w:r>
          </w:p>
        </w:tc>
        <w:tc>
          <w:tcPr>
            <w:tcW w:type="dxa" w:w="1950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  <w:tc>
          <w:tcPr>
            <w:tcW w:type="dxa" w:w="1976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7050"/>
            <w:gridSpan w:val="4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EDEDED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 xml:space="preserve">Total for LOT 1 (EUR, VAT excluded):</w:t>
            </w:r>
          </w:p>
        </w:tc>
        <w:tc>
          <w:tcPr>
            <w:tcW w:type="dxa" w:w="1976"/>
            <w:tcBorders>
              <w:top w:val="single" w:color="999999" w:sz="4"/>
              <w:left w:val="single" w:color="999999" w:sz="4"/>
              <w:bottom w:val="single" w:color="999999" w:sz="4"/>
              <w:right w:val="single" w:color="999999" w:sz="4"/>
            </w:tcBorders>
            <w:shd w:fill="EDEDED" w:color="auto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8"/>
                <w:szCs w:val="18"/>
              </w:rPr>
              <w:t xml:space="preserve"/>
            </w:r>
          </w:p>
        </w:tc>
      </w:tr>
    </w:tbl>
    <w:p>
      <w:pPr>
        <w:spacing w:before="200"/>
      </w:pPr>
      <w:r>
        <w:rPr>
          <w:i/>
          <w:iCs/>
          <w:sz w:val="18"/>
          <w:szCs w:val="18"/>
        </w:rPr>
        <w:t xml:space="preserve">The tenderer must complete the unit and total prices, sign and date this form.</w:t>
      </w:r>
    </w:p>
    <w:p>
      <w:pPr>
        <w:spacing w:before="300"/>
      </w:pPr>
      <w:r>
        <w:rPr>
          <w:sz w:val="20"/>
          <w:szCs w:val="20"/>
        </w:rPr>
        <w:t xml:space="preserve">Name and signature of authorised representative: ______________________________ Date: __________</w:t>
      </w:r>
    </w:p>
    <w:sectPr>
      <w:footerReference w:type="default" r:id="rId7"/>
      <w:headerReference w:type="default" r:id="rId9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pos="9026"/>
      </w:tabs>
    </w:pPr>
    <w:r>
      <w:rPr>
        <w:sz w:val="14"/>
        <w:szCs w:val="14"/>
      </w:rPr>
      <w:t xml:space="preserve">c4g_annex_iv_finoffer_Lot_1 - NINET Local Open Tender</w:t>
    </w:r>
    <w:r>
      <w:rPr>
        <w:sz w:val="14"/>
        <w:szCs w:val="14"/>
      </w:rPr>
      <w:t xml:space="preserve">	Page </w:t>
    </w:r>
    <w:r>
      <w:rPr>
        <w:sz w:val="14"/>
        <w:szCs w:val="14"/>
      </w:rPr>
      <w:fldChar w:fldCharType="begin"/>
      <w:instrText xml:space="preserve">PAGE</w:instrText>
      <w:fldChar w:fldCharType="separate"/>
      <w:fldChar w:fldCharType="end"/>
    </w:r>
    <w:r>
      <w:rPr>
        <w:sz w:val="14"/>
        <w:szCs w:val="14"/>
      </w:rPr>
      <w:t xml:space="preserve"> of </w:t>
    </w:r>
    <w:r>
      <w:rPr>
        <w:sz w:val="14"/>
        <w:szCs w:val="14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drawing>
        <wp:inline xmlns:a="http://schemas.openxmlformats.org/drawingml/2006/main" xmlns:pic="http://schemas.openxmlformats.org/drawingml/2006/picture">
          <wp:extent cx="2103120" cy="634362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PA - Interreg logo BG-RS_3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03120" cy="634362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header" Target="head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Ninet Company d.o.o.</dc:creator>
  <cp:lastModifiedBy>Ninet Company d.o.o.</cp:lastModifiedBy>
  <cp:revision>1</cp:revision>
  <dcterms:created xsi:type="dcterms:W3CDTF">2026-07-21T08:44:23.970Z</dcterms:created>
  <dcterms:modified xsi:type="dcterms:W3CDTF">2026-07-21T08:44:23.980Z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