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b/>
          <w:bCs/>
          <w:i w:val="false"/>
          <w:iCs w:val="false"/>
          <w:sz w:val="24"/>
          <w:szCs w:val="24"/>
        </w:rPr>
        <w:t xml:space="preserve">ANNEX II + III: TECHNICAL SPECIFICATIONS + TECHNICAL OFFER</w:t>
      </w:r>
    </w:p>
    <w:p>
      <w:pPr>
        <w:spacing w:after="80"/>
      </w:pPr>
      <w:r>
        <w:rPr>
          <w:b/>
          <w:bCs/>
          <w:i w:val="false"/>
          <w:iCs w:val="false"/>
          <w:sz w:val="20"/>
          <w:szCs w:val="20"/>
        </w:rPr>
        <w:t xml:space="preserve">Contract title: Supply of IT and data-centre equipment for the NINET data centre in Niš</w:t>
      </w:r>
    </w:p>
    <w:p>
      <w:pPr>
        <w:spacing w:after="160"/>
      </w:pPr>
      <w:r>
        <w:rPr>
          <w:b/>
          <w:bCs/>
          <w:i w:val="false"/>
          <w:iCs w:val="false"/>
          <w:sz w:val="20"/>
          <w:szCs w:val="20"/>
        </w:rPr>
        <w:t xml:space="preserve">Publication reference: BGRS0500152-TD01-PP2</w:t>
      </w:r>
    </w:p>
    <w:p>
      <w:pPr>
        <w:spacing w:after="80"/>
      </w:pPr>
      <w:r>
        <w:rPr>
          <w:b w:val="false"/>
          <w:bCs w:val="false"/>
          <w:i/>
          <w:iCs/>
          <w:sz w:val="18"/>
          <w:szCs w:val="18"/>
        </w:rPr>
        <w:t xml:space="preserve">This supply procedure is divided into two lots. Tenderers may submit a tender for one or more lots. Each lot is evaluated separately and awarded to the tenderer submitting the lowest-priced tender that is technically compliant and administratively in order.</w:t>
      </w:r>
    </w:p>
    <w:p>
      <w:pPr>
        <w:spacing w:after="140"/>
      </w:pPr>
      <w:r>
        <w:rPr>
          <w:b w:val="false"/>
          <w:bCs w:val="false"/>
          <w:i w:val="false"/>
          <w:iCs w:val="false"/>
          <w:sz w:val="18"/>
          <w:szCs w:val="18"/>
        </w:rPr>
        <w:t xml:space="preserve">All equipment under this procedure must be new and unused (both lots), in accordance with Article 32.1 of the general conditions and Special Conditions Article 32.6.</w:t>
      </w:r>
    </w:p>
    <w:p>
      <w:pPr>
        <w:spacing w:after="140"/>
      </w:pPr>
      <w:r>
        <w:rPr>
          <w:b/>
          <w:bCs/>
          <w:i w:val="false"/>
          <w:iCs w:val="false"/>
          <w:sz w:val="18"/>
          <w:szCs w:val="18"/>
        </w:rPr>
        <w:t xml:space="preserve">Warranty: all equipment supplied under both lots shall carry a warranty of at least 24 months (2 years) from provisional acceptance, in accordance with Special Conditions Article 32.7. The tenderer must state the offered warranty period in Annex III.</w:t>
      </w:r>
    </w:p>
    <w:p>
      <w:pPr>
        <w:spacing w:after="80"/>
      </w:pPr>
      <w:r>
        <w:rPr>
          <w:b w:val="false"/>
          <w:bCs w:val="false"/>
          <w:i w:val="false"/>
          <w:iCs w:val="false"/>
          <w:sz w:val="18"/>
          <w:szCs w:val="18"/>
        </w:rPr>
        <w:t xml:space="preserve">Columns 1-2 are completed by the contracting authority. Columns 3-4 are completed by the tenderer. Column 5 is reserved for the evaluation committee.</w:t>
      </w:r>
    </w:p>
    <w:p>
      <w:pPr>
        <w:spacing w:after="160"/>
      </w:pPr>
      <w:r>
        <w:rPr>
          <w:b w:val="false"/>
          <w:bCs w:val="false"/>
          <w:i w:val="false"/>
          <w:iCs w:val="false"/>
          <w:sz w:val="18"/>
          <w:szCs w:val="18"/>
        </w:rPr>
        <w:t xml:space="preserve">Column 2 shows the required minimum specifications (not to be modified by the tenderer). Column 3 must detail what is offered (the words ‘compliant’ or ‘yes’ are not sufficient). Column 4 allows the tenderer to comment on its proposed supply and to make references to the documentation. Supporting documentation should clearly indicate (highlight, mark) the models offered and the options included, so that the evaluators can verify compliance. The offer must be clear enough to allow an easy comparison between the requested and the offered specifications.</w:t>
      </w:r>
    </w:p>
    <w:tbl>
      <w:tblPr>
        <w:tblW w:type="dxa" w:w="14678"/>
        <w:tblBorders>
          <w:top w:val="single" w:color="auto" w:sz="4"/>
          <w:left w:val="single" w:color="auto" w:sz="4"/>
          <w:bottom w:val="single" w:color="auto" w:sz="4"/>
          <w:right w:val="single" w:color="auto" w:sz="4"/>
          <w:insideH w:val="single" w:color="auto" w:sz="4"/>
          <w:insideV w:val="single" w:color="auto" w:sz="4"/>
        </w:tblBorders>
      </w:tblPr>
      <w:tblGrid>
        <w:gridCol w:w="850"/>
        <w:gridCol w:w="8600"/>
        <w:gridCol w:w="2400"/>
        <w:gridCol w:w="1900"/>
        <w:gridCol w:w="928"/>
      </w:tblGrid>
      <w:tr>
        <w:trPr>
          <w:tblHeader/>
        </w:trPr>
        <w:tc>
          <w:tcPr>
            <w:tcW w:type="dxa" w:w="850"/>
            <w:tcBorders>
              <w:top w:val="single" w:color="999999" w:sz="4"/>
              <w:left w:val="single" w:color="999999" w:sz="4"/>
              <w:bottom w:val="single" w:color="999999" w:sz="4"/>
              <w:right w:val="single" w:color="999999" w:sz="4"/>
            </w:tcBorders>
            <w:shd w:fill="1F4E79" w:color="auto" w:val="clear"/>
            <w:tcMar>
              <w:top w:type="dxa" w:w="60"/>
              <w:left w:type="dxa" w:w="100"/>
              <w:bottom w:type="dxa" w:w="60"/>
              <w:right w:type="dxa" w:w="100"/>
            </w:tcMar>
            <w:vAlign w:val="top"/>
          </w:tcPr>
          <w:p>
            <w:pPr>
              <w:jc w:val="center"/>
            </w:pPr>
            <w:r>
              <w:rPr>
                <w:b/>
                <w:bCs/>
                <w:color w:val="FFFFFF"/>
                <w:sz w:val="18"/>
                <w:szCs w:val="18"/>
              </w:rPr>
              <w:t xml:space="preserve">1.</w:t>
            </w:r>
          </w:p>
          <w:p>
            <w:pPr>
              <w:jc w:val="center"/>
            </w:pPr>
            <w:r>
              <w:rPr>
                <w:b/>
                <w:bCs/>
                <w:color w:val="FFFFFF"/>
                <w:sz w:val="18"/>
                <w:szCs w:val="18"/>
              </w:rPr>
              <w:t xml:space="preserve">Item number</w:t>
            </w:r>
          </w:p>
        </w:tc>
        <w:tc>
          <w:tcPr>
            <w:tcW w:type="dxa" w:w="8600"/>
            <w:tcBorders>
              <w:top w:val="single" w:color="999999" w:sz="4"/>
              <w:left w:val="single" w:color="999999" w:sz="4"/>
              <w:bottom w:val="single" w:color="999999" w:sz="4"/>
              <w:right w:val="single" w:color="999999" w:sz="4"/>
            </w:tcBorders>
            <w:shd w:fill="1F4E79" w:color="auto" w:val="clear"/>
            <w:tcMar>
              <w:top w:type="dxa" w:w="60"/>
              <w:left w:type="dxa" w:w="100"/>
              <w:bottom w:type="dxa" w:w="60"/>
              <w:right w:type="dxa" w:w="100"/>
            </w:tcMar>
            <w:vAlign w:val="top"/>
          </w:tcPr>
          <w:p>
            <w:pPr>
              <w:jc w:val="center"/>
            </w:pPr>
            <w:r>
              <w:rPr>
                <w:b/>
                <w:bCs/>
                <w:color w:val="FFFFFF"/>
                <w:sz w:val="18"/>
                <w:szCs w:val="18"/>
              </w:rPr>
              <w:t xml:space="preserve">2.</w:t>
            </w:r>
          </w:p>
          <w:p>
            <w:pPr>
              <w:jc w:val="center"/>
            </w:pPr>
            <w:r>
              <w:rPr>
                <w:b/>
                <w:bCs/>
                <w:color w:val="FFFFFF"/>
                <w:sz w:val="18"/>
                <w:szCs w:val="18"/>
              </w:rPr>
              <w:t xml:space="preserve">Specifications required (minimum)</w:t>
            </w:r>
          </w:p>
        </w:tc>
        <w:tc>
          <w:tcPr>
            <w:tcW w:type="dxa" w:w="2400"/>
            <w:tcBorders>
              <w:top w:val="single" w:color="999999" w:sz="4"/>
              <w:left w:val="single" w:color="999999" w:sz="4"/>
              <w:bottom w:val="single" w:color="999999" w:sz="4"/>
              <w:right w:val="single" w:color="999999" w:sz="4"/>
            </w:tcBorders>
            <w:shd w:fill="1F4E79" w:color="auto" w:val="clear"/>
            <w:tcMar>
              <w:top w:type="dxa" w:w="60"/>
              <w:left w:type="dxa" w:w="100"/>
              <w:bottom w:type="dxa" w:w="60"/>
              <w:right w:type="dxa" w:w="100"/>
            </w:tcMar>
            <w:vAlign w:val="top"/>
          </w:tcPr>
          <w:p>
            <w:pPr>
              <w:jc w:val="center"/>
            </w:pPr>
            <w:r>
              <w:rPr>
                <w:b/>
                <w:bCs/>
                <w:color w:val="FFFFFF"/>
                <w:sz w:val="18"/>
                <w:szCs w:val="18"/>
              </w:rPr>
              <w:t xml:space="preserve">3.</w:t>
            </w:r>
          </w:p>
          <w:p>
            <w:pPr>
              <w:jc w:val="center"/>
            </w:pPr>
            <w:r>
              <w:rPr>
                <w:b/>
                <w:bCs/>
                <w:color w:val="FFFFFF"/>
                <w:sz w:val="18"/>
                <w:szCs w:val="18"/>
              </w:rPr>
              <w:t xml:space="preserve">Specifications offered</w:t>
            </w:r>
          </w:p>
        </w:tc>
        <w:tc>
          <w:tcPr>
            <w:tcW w:type="dxa" w:w="1900"/>
            <w:tcBorders>
              <w:top w:val="single" w:color="999999" w:sz="4"/>
              <w:left w:val="single" w:color="999999" w:sz="4"/>
              <w:bottom w:val="single" w:color="999999" w:sz="4"/>
              <w:right w:val="single" w:color="999999" w:sz="4"/>
            </w:tcBorders>
            <w:shd w:fill="1F4E79" w:color="auto" w:val="clear"/>
            <w:tcMar>
              <w:top w:type="dxa" w:w="60"/>
              <w:left w:type="dxa" w:w="100"/>
              <w:bottom w:type="dxa" w:w="60"/>
              <w:right w:type="dxa" w:w="100"/>
            </w:tcMar>
            <w:vAlign w:val="top"/>
          </w:tcPr>
          <w:p>
            <w:pPr>
              <w:jc w:val="center"/>
            </w:pPr>
            <w:r>
              <w:rPr>
                <w:b/>
                <w:bCs/>
                <w:color w:val="FFFFFF"/>
                <w:sz w:val="18"/>
                <w:szCs w:val="18"/>
              </w:rPr>
              <w:t xml:space="preserve">4.</w:t>
            </w:r>
          </w:p>
          <w:p>
            <w:pPr>
              <w:jc w:val="center"/>
            </w:pPr>
            <w:r>
              <w:rPr>
                <w:b/>
                <w:bCs/>
                <w:color w:val="FFFFFF"/>
                <w:sz w:val="18"/>
                <w:szCs w:val="18"/>
              </w:rPr>
              <w:t xml:space="preserve">Notes, remarks, ref. to documentation</w:t>
            </w:r>
          </w:p>
        </w:tc>
        <w:tc>
          <w:tcPr>
            <w:tcW w:type="dxa" w:w="928"/>
            <w:tcBorders>
              <w:top w:val="single" w:color="999999" w:sz="4"/>
              <w:left w:val="single" w:color="999999" w:sz="4"/>
              <w:bottom w:val="single" w:color="999999" w:sz="4"/>
              <w:right w:val="single" w:color="999999" w:sz="4"/>
            </w:tcBorders>
            <w:shd w:fill="1F4E79" w:color="auto" w:val="clear"/>
            <w:tcMar>
              <w:top w:type="dxa" w:w="60"/>
              <w:left w:type="dxa" w:w="100"/>
              <w:bottom w:type="dxa" w:w="60"/>
              <w:right w:type="dxa" w:w="100"/>
            </w:tcMar>
            <w:vAlign w:val="top"/>
          </w:tcPr>
          <w:p>
            <w:pPr>
              <w:jc w:val="center"/>
            </w:pPr>
            <w:r>
              <w:rPr>
                <w:b/>
                <w:bCs/>
                <w:color w:val="FFFFFF"/>
                <w:sz w:val="18"/>
                <w:szCs w:val="18"/>
              </w:rPr>
              <w:t xml:space="preserve">5.</w:t>
            </w:r>
          </w:p>
          <w:p>
            <w:pPr>
              <w:jc w:val="center"/>
            </w:pPr>
            <w:r>
              <w:rPr>
                <w:b/>
                <w:bCs/>
                <w:color w:val="FFFFFF"/>
                <w:sz w:val="18"/>
                <w:szCs w:val="18"/>
              </w:rPr>
              <w:t xml:space="preserve">Evaluation committee's notes</w:t>
            </w:r>
          </w:p>
        </w:tc>
      </w:tr>
      <w:tr>
        <w:tc>
          <w:tcPr>
            <w:tcW w:type="dxa" w:w="14678"/>
            <w:gridSpan w:val="5"/>
            <w:tcBorders>
              <w:top w:val="single" w:color="999999" w:sz="4"/>
              <w:left w:val="single" w:color="999999" w:sz="4"/>
              <w:bottom w:val="single" w:color="999999" w:sz="4"/>
              <w:right w:val="single" w:color="999999" w:sz="4"/>
            </w:tcBorders>
            <w:shd w:fill="D9E2F3" w:color="auto" w:val="clear"/>
            <w:tcMar>
              <w:top w:type="dxa" w:w="60"/>
              <w:left w:type="dxa" w:w="100"/>
              <w:bottom w:type="dxa" w:w="60"/>
              <w:right w:type="dxa" w:w="100"/>
            </w:tcMar>
            <w:vAlign w:val="top"/>
          </w:tcPr>
          <w:p>
            <w:r>
              <w:rPr>
                <w:b/>
                <w:bCs/>
                <w:sz w:val="20"/>
                <w:szCs w:val="20"/>
              </w:rPr>
              <w:t>LOT 1 - Racks and UPS equipment</w:t>
            </w:r>
          </w:p>
        </w:tc>
      </w:tr>
      <w:tr>
        <w:tc>
          <w:tcPr>
            <w:tcW w:type="dxa" w:w="85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jc w:val="center"/>
            </w:pPr>
            <w:r>
              <w:rPr>
                <w:b/>
                <w:bCs/>
                <w:sz w:val="18"/>
                <w:szCs w:val="18"/>
              </w:rPr>
              <w:t xml:space="preserve">1</w:t>
            </w:r>
          </w:p>
        </w:tc>
        <w:tc>
          <w:tcPr>
            <w:tcW w:type="dxa" w:w="86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spacing w:after="20"/>
            </w:pPr>
            <w:r>
              <w:rPr>
                <w:b/>
                <w:bCs/>
                <w:sz w:val="18"/>
                <w:szCs w:val="18"/>
              </w:rPr>
              <w:t xml:space="preserve">UPS 20 kVA, 400 V, 3:1 / Parallel Operation Kit / Rack ATS</w:t>
            </w:r>
          </w:p>
          <w:p>
            <w:pPr>
              <w:spacing w:after="20"/>
            </w:pPr>
            <w:r>
              <w:rPr>
                <w:b w:val="false"/>
                <w:bCs w:val="false"/>
                <w:sz w:val="18"/>
                <w:szCs w:val="18"/>
              </w:rPr>
              <w:t xml:space="preserve">Three-phase input, single-phase output 20 kVA online double-conversion UPS with output power factor ≥ 0.9, low input THDi, integrated static bypass, scalable external battery support, capable of operation during single-phase input loss, with communication ports (USB / RS-232 / optional SNMP), compliant with IEC/EN 62040 standards. Battery strings (UPS).</w:t>
            </w:r>
          </w:p>
          <w:p>
            <w:pPr>
              <w:spacing w:after="20"/>
            </w:pPr>
            <w:r>
              <w:rPr>
                <w:b w:val="false"/>
                <w:bCs w:val="false"/>
                <w:sz w:val="18"/>
                <w:szCs w:val="18"/>
              </w:rPr>
              <w:t xml:space="preserve">Rack automatic transfer switch (ATS), 230 V AC, 10 A, with dual power inputs for source redundancy, automatic switching on power loss, IEC C14/C13 connectors, front status indicators. Door switch sensor; smoke sensor. Parallel operation kit.</w:t>
            </w:r>
          </w:p>
          <w:p>
            <w:pPr>
              <w:spacing w:after="20"/>
            </w:pPr>
            <w:r>
              <w:rPr>
                <w:b/>
                <w:bCs/>
                <w:sz w:val="18"/>
                <w:szCs w:val="18"/>
              </w:rPr>
              <w:t xml:space="preserve">Required quantity: 2.</w:t>
            </w:r>
          </w:p>
        </w:tc>
        <w:tc>
          <w:tcPr>
            <w:tcW w:type="dxa" w:w="24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19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928"/>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r>
      <w:tr>
        <w:tc>
          <w:tcPr>
            <w:tcW w:type="dxa" w:w="85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jc w:val="center"/>
            </w:pPr>
            <w:r>
              <w:rPr>
                <w:b/>
                <w:bCs/>
                <w:sz w:val="18"/>
                <w:szCs w:val="18"/>
              </w:rPr>
              <w:t xml:space="preserve">2</w:t>
            </w:r>
          </w:p>
        </w:tc>
        <w:tc>
          <w:tcPr>
            <w:tcW w:type="dxa" w:w="86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spacing w:after="20"/>
            </w:pPr>
            <w:r>
              <w:rPr>
                <w:b/>
                <w:bCs/>
                <w:sz w:val="18"/>
                <w:szCs w:val="18"/>
              </w:rPr>
              <w:t xml:space="preserve">Network management card</w:t>
            </w:r>
          </w:p>
          <w:p>
            <w:pPr>
              <w:spacing w:after="20"/>
            </w:pPr>
            <w:r>
              <w:rPr>
                <w:b/>
                <w:bCs/>
                <w:sz w:val="18"/>
                <w:szCs w:val="18"/>
              </w:rPr>
              <w:t xml:space="preserve">Required quantity: 2.</w:t>
            </w:r>
          </w:p>
        </w:tc>
        <w:tc>
          <w:tcPr>
            <w:tcW w:type="dxa" w:w="24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19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928"/>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r>
      <w:tr>
        <w:tc>
          <w:tcPr>
            <w:tcW w:type="dxa" w:w="85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jc w:val="center"/>
            </w:pPr>
            <w:r>
              <w:rPr>
                <w:b/>
                <w:bCs/>
                <w:sz w:val="18"/>
                <w:szCs w:val="18"/>
              </w:rPr>
              <w:t xml:space="preserve">3</w:t>
            </w:r>
          </w:p>
        </w:tc>
        <w:tc>
          <w:tcPr>
            <w:tcW w:type="dxa" w:w="86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spacing w:after="20"/>
            </w:pPr>
            <w:r>
              <w:rPr>
                <w:b/>
                <w:bCs/>
                <w:sz w:val="18"/>
                <w:szCs w:val="18"/>
              </w:rPr>
              <w:t xml:space="preserve">Rack cabinet, 42U</w:t>
            </w:r>
          </w:p>
          <w:p>
            <w:pPr>
              <w:spacing w:after="20"/>
            </w:pPr>
            <w:r>
              <w:rPr>
                <w:b w:val="false"/>
                <w:bCs w:val="false"/>
                <w:sz w:val="18"/>
                <w:szCs w:val="18"/>
              </w:rPr>
              <w:t xml:space="preserve">42U rack cabinet with minimum depth of 1100 mm suitable for full-length servers, perforated front and rear doors for ventilation, cable management and grounding provisions, adjustable mounting rails.</w:t>
            </w:r>
          </w:p>
          <w:p>
            <w:pPr>
              <w:spacing w:after="20"/>
            </w:pPr>
            <w:r>
              <w:rPr>
                <w:b/>
                <w:bCs/>
                <w:sz w:val="18"/>
                <w:szCs w:val="18"/>
              </w:rPr>
              <w:t xml:space="preserve">Required quantity: 3.</w:t>
            </w:r>
          </w:p>
        </w:tc>
        <w:tc>
          <w:tcPr>
            <w:tcW w:type="dxa" w:w="24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19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928"/>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r>
      <w:tr>
        <w:tc>
          <w:tcPr>
            <w:tcW w:type="dxa" w:w="85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jc w:val="center"/>
            </w:pPr>
            <w:r>
              <w:rPr>
                <w:b/>
                <w:bCs/>
                <w:sz w:val="18"/>
                <w:szCs w:val="18"/>
              </w:rPr>
              <w:t xml:space="preserve">4</w:t>
            </w:r>
          </w:p>
        </w:tc>
        <w:tc>
          <w:tcPr>
            <w:tcW w:type="dxa" w:w="86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spacing w:after="20"/>
            </w:pPr>
            <w:r>
              <w:rPr>
                <w:b/>
                <w:bCs/>
                <w:sz w:val="18"/>
                <w:szCs w:val="18"/>
              </w:rPr>
              <w:t xml:space="preserve">PDU, metered</w:t>
            </w:r>
          </w:p>
          <w:p>
            <w:pPr>
              <w:spacing w:after="20"/>
            </w:pPr>
            <w:r>
              <w:rPr>
                <w:b w:val="false"/>
                <w:bCs w:val="false"/>
                <w:sz w:val="18"/>
                <w:szCs w:val="18"/>
              </w:rPr>
              <w:t xml:space="preserve">Rack-mounted metered PDU with IEC C13/C19 outlets, input capacity suitable for 16–32 A circuits, integrated digital current meter for load monitoring.</w:t>
            </w:r>
          </w:p>
          <w:p>
            <w:pPr>
              <w:spacing w:after="20"/>
            </w:pPr>
            <w:r>
              <w:rPr>
                <w:b/>
                <w:bCs/>
                <w:sz w:val="18"/>
                <w:szCs w:val="18"/>
              </w:rPr>
              <w:t xml:space="preserve">Required quantity: 3.</w:t>
            </w:r>
          </w:p>
        </w:tc>
        <w:tc>
          <w:tcPr>
            <w:tcW w:type="dxa" w:w="24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19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928"/>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r>
      <w:tr>
        <w:tc>
          <w:tcPr>
            <w:tcW w:type="dxa" w:w="85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jc w:val="center"/>
            </w:pPr>
            <w:r>
              <w:rPr>
                <w:b/>
                <w:bCs/>
                <w:sz w:val="18"/>
                <w:szCs w:val="18"/>
              </w:rPr>
              <w:t xml:space="preserve">5</w:t>
            </w:r>
          </w:p>
        </w:tc>
        <w:tc>
          <w:tcPr>
            <w:tcW w:type="dxa" w:w="86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spacing w:after="20"/>
            </w:pPr>
            <w:r>
              <w:rPr>
                <w:b/>
                <w:bCs/>
                <w:sz w:val="18"/>
                <w:szCs w:val="18"/>
              </w:rPr>
              <w:t xml:space="preserve">Environmental monitor (main)</w:t>
            </w:r>
          </w:p>
          <w:p>
            <w:pPr>
              <w:spacing w:after="20"/>
            </w:pPr>
            <w:r>
              <w:rPr>
                <w:b/>
                <w:bCs/>
                <w:sz w:val="18"/>
                <w:szCs w:val="18"/>
              </w:rPr>
              <w:t xml:space="preserve">Required quantity: 3.</w:t>
            </w:r>
          </w:p>
        </w:tc>
        <w:tc>
          <w:tcPr>
            <w:tcW w:type="dxa" w:w="24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19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928"/>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r>
      <w:tr>
        <w:tc>
          <w:tcPr>
            <w:tcW w:type="dxa" w:w="85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jc w:val="center"/>
            </w:pPr>
            <w:r>
              <w:rPr>
                <w:b/>
                <w:bCs/>
                <w:sz w:val="18"/>
                <w:szCs w:val="18"/>
              </w:rPr>
              <w:t xml:space="preserve">6</w:t>
            </w:r>
          </w:p>
        </w:tc>
        <w:tc>
          <w:tcPr>
            <w:tcW w:type="dxa" w:w="86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spacing w:after="20"/>
            </w:pPr>
            <w:r>
              <w:rPr>
                <w:b/>
                <w:bCs/>
                <w:sz w:val="18"/>
                <w:szCs w:val="18"/>
              </w:rPr>
              <w:t xml:space="preserve">Temperature &amp; humidity sensors</w:t>
            </w:r>
          </w:p>
          <w:p>
            <w:pPr>
              <w:spacing w:after="20"/>
            </w:pPr>
            <w:r>
              <w:rPr>
                <w:b/>
                <w:bCs/>
                <w:sz w:val="18"/>
                <w:szCs w:val="18"/>
              </w:rPr>
              <w:t xml:space="preserve">Required quantity: 2.</w:t>
            </w:r>
          </w:p>
        </w:tc>
        <w:tc>
          <w:tcPr>
            <w:tcW w:type="dxa" w:w="24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19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928"/>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r>
      <w:tr>
        <w:tc>
          <w:tcPr>
            <w:tcW w:type="dxa" w:w="85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jc w:val="center"/>
            </w:pPr>
            <w:r>
              <w:rPr>
                <w:b/>
                <w:bCs/>
                <w:sz w:val="18"/>
                <w:szCs w:val="18"/>
              </w:rPr>
              <w:t xml:space="preserve">7</w:t>
            </w:r>
          </w:p>
        </w:tc>
        <w:tc>
          <w:tcPr>
            <w:tcW w:type="dxa" w:w="86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spacing w:after="20"/>
            </w:pPr>
            <w:r>
              <w:rPr>
                <w:b/>
                <w:bCs/>
                <w:sz w:val="18"/>
                <w:szCs w:val="18"/>
              </w:rPr>
              <w:t xml:space="preserve">Delivery, cabling, installation, user training and commissioning</w:t>
            </w:r>
          </w:p>
          <w:p>
            <w:pPr>
              <w:spacing w:after="20"/>
            </w:pPr>
            <w:r>
              <w:rPr>
                <w:b w:val="false"/>
                <w:bCs w:val="false"/>
                <w:sz w:val="18"/>
                <w:szCs w:val="18"/>
              </w:rPr>
              <w:t xml:space="preserve">Cabling from the main building distribution panel to the server room and racks shall include power lines sized according to the UPS capacity and server load, using appropriate three-phase and single-phase copper conductors. Cables shall be routed in dedicated trays or conduits with clearly marked phase, neutral, and protective earth conductors. Local training and commissioning in NINET DC, at least 2 days with local support. Delivery and installation in NINET DC with local support.</w:t>
            </w:r>
          </w:p>
          <w:p>
            <w:pPr>
              <w:spacing w:after="20"/>
            </w:pPr>
            <w:r>
              <w:rPr>
                <w:b w:val="false"/>
                <w:bCs w:val="false"/>
                <w:sz w:val="18"/>
                <w:szCs w:val="18"/>
              </w:rPr>
              <w:t>This item is a lump sum, fixed and not subject to revision. A site visit for all prospective tenderers will be held on Friday, 7 August 2026 at 11:00 h (CET) (see the Instructions to Tenderers, sections 2 and 14); in accordance with Article 15 of the general conditions the tenderer is deemed to have satisfied itself as to the site conditions and to have included all necessary costs in its lump-sum price.</w:t>
            </w:r>
          </w:p>
          <w:p>
            <w:pPr>
              <w:spacing w:after="20"/>
            </w:pPr>
            <w:r>
              <w:rPr>
                <w:b/>
                <w:bCs/>
                <w:sz w:val="18"/>
                <w:szCs w:val="18"/>
              </w:rPr>
              <w:t xml:space="preserve">Required quantity: 1 (lump sum).</w:t>
            </w:r>
          </w:p>
        </w:tc>
        <w:tc>
          <w:tcPr>
            <w:tcW w:type="dxa" w:w="24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19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928"/>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r>
      <w:tr>
        <w:tc>
          <w:tcPr>
            <w:tcW w:type="dxa" w:w="14678"/>
            <w:gridSpan w:val="5"/>
            <w:tcBorders>
              <w:top w:val="single" w:color="999999" w:sz="4"/>
              <w:left w:val="single" w:color="999999" w:sz="4"/>
              <w:bottom w:val="single" w:color="999999" w:sz="4"/>
              <w:right w:val="single" w:color="999999" w:sz="4"/>
            </w:tcBorders>
            <w:shd w:fill="D9E2F3" w:color="auto" w:val="clear"/>
            <w:tcMar>
              <w:top w:type="dxa" w:w="60"/>
              <w:left w:type="dxa" w:w="100"/>
              <w:bottom w:type="dxa" w:w="60"/>
              <w:right w:type="dxa" w:w="100"/>
            </w:tcMar>
            <w:vAlign w:val="top"/>
          </w:tcPr>
          <w:p>
            <w:r>
              <w:rPr>
                <w:b/>
                <w:bCs/>
                <w:sz w:val="20"/>
                <w:szCs w:val="20"/>
              </w:rPr>
              <w:t>LOT 2 - Virtualisation equipment</w:t>
            </w:r>
          </w:p>
        </w:tc>
      </w:tr>
      <w:tr>
        <w:tc>
          <w:tcPr>
            <w:tcW w:type="dxa" w:w="85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jc w:val="center"/>
            </w:pPr>
            <w:r>
              <w:rPr>
                <w:b/>
                <w:bCs/>
                <w:sz w:val="18"/>
                <w:szCs w:val="18"/>
              </w:rPr>
              <w:t xml:space="preserve">1</w:t>
            </w:r>
          </w:p>
        </w:tc>
        <w:tc>
          <w:tcPr>
            <w:tcW w:type="dxa" w:w="86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spacing w:after="20"/>
            </w:pPr>
            <w:r>
              <w:rPr>
                <w:b/>
                <w:bCs/>
                <w:sz w:val="18"/>
                <w:szCs w:val="18"/>
              </w:rPr>
              <w:t xml:space="preserve">Compute nodes - 6+ nodes, each ≥ 32 cores &amp; 128 GB RAM</w:t>
            </w:r>
          </w:p>
          <w:p>
            <w:pPr>
              <w:spacing w:after="20"/>
            </w:pPr>
            <w:r>
              <w:rPr>
                <w:b w:val="false"/>
                <w:bCs w:val="false"/>
                <w:sz w:val="18"/>
                <w:szCs w:val="18"/>
              </w:rPr>
              <w:t xml:space="preserve">6 or more 1U rack servers (or equivalent), each with dual-socket CPUs providing ≥ 32 physical cores total, ≥ 128 GB ECC RAM expandable to 512 GB+, dual hot-plug PSUs, ≥ 2× U.2 NVMe SSDs (≥ 2 TB RAID1) with expandable NVMe capacity, ≥ 2× 10 GbE ports, remote management (iLO / iDRAC-class or equivalent), and full compatibility with modern virtualization platforms (Proxmox, ESXi, Hyper-V or equivalent).</w:t>
            </w:r>
          </w:p>
          <w:p>
            <w:pPr>
              <w:spacing w:after="20"/>
            </w:pPr>
            <w:r>
              <w:rPr>
                <w:b/>
                <w:bCs/>
                <w:sz w:val="18"/>
                <w:szCs w:val="18"/>
              </w:rPr>
              <w:t xml:space="preserve">Required quantity: 6.</w:t>
            </w:r>
          </w:p>
        </w:tc>
        <w:tc>
          <w:tcPr>
            <w:tcW w:type="dxa" w:w="24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19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928"/>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r>
      <w:tr>
        <w:tc>
          <w:tcPr>
            <w:tcW w:type="dxa" w:w="85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jc w:val="center"/>
            </w:pPr>
            <w:r>
              <w:rPr>
                <w:b/>
                <w:bCs/>
                <w:sz w:val="18"/>
                <w:szCs w:val="18"/>
              </w:rPr>
              <w:t xml:space="preserve">2</w:t>
            </w:r>
          </w:p>
        </w:tc>
        <w:tc>
          <w:tcPr>
            <w:tcW w:type="dxa" w:w="86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spacing w:after="20"/>
            </w:pPr>
            <w:r>
              <w:rPr>
                <w:b/>
                <w:bCs/>
                <w:sz w:val="18"/>
                <w:szCs w:val="18"/>
              </w:rPr>
              <w:t xml:space="preserve">Dual-redundant data storage (base system) 150–250 TB</w:t>
            </w:r>
          </w:p>
          <w:p>
            <w:pPr>
              <w:spacing w:after="20"/>
            </w:pPr>
            <w:r>
              <w:rPr>
                <w:b w:val="false"/>
                <w:bCs w:val="false"/>
                <w:sz w:val="18"/>
                <w:szCs w:val="18"/>
              </w:rPr>
              <w:t xml:space="preserve">Shared storage system with ≥ 150 TB raw capacity, enterprise HDDs in RAID-6 or equivalent dual-fault-tolerant setup, SSD/NVMe cache, 10/25/40 Gbps connectivity with multipathing, snapshot and expansion support, including local on-site installation and 3-day administrator training, with 3–5 year support. Drives for capacity/performance.</w:t>
            </w:r>
          </w:p>
          <w:p>
            <w:pPr>
              <w:spacing w:after="20"/>
            </w:pPr>
            <w:r>
              <w:rPr>
                <w:b/>
                <w:bCs/>
                <w:sz w:val="18"/>
                <w:szCs w:val="18"/>
              </w:rPr>
              <w:t xml:space="preserve">Required quantity: 1.</w:t>
            </w:r>
          </w:p>
        </w:tc>
        <w:tc>
          <w:tcPr>
            <w:tcW w:type="dxa" w:w="24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19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928"/>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r>
      <w:tr>
        <w:tc>
          <w:tcPr>
            <w:tcW w:type="dxa" w:w="85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jc w:val="center"/>
            </w:pPr>
            <w:r>
              <w:rPr>
                <w:b/>
                <w:bCs/>
                <w:sz w:val="18"/>
                <w:szCs w:val="18"/>
              </w:rPr>
              <w:t xml:space="preserve">3</w:t>
            </w:r>
          </w:p>
        </w:tc>
        <w:tc>
          <w:tcPr>
            <w:tcW w:type="dxa" w:w="86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spacing w:after="20"/>
            </w:pPr>
            <w:r>
              <w:rPr>
                <w:b/>
                <w:bCs/>
                <w:sz w:val="18"/>
                <w:szCs w:val="18"/>
              </w:rPr>
              <w:t xml:space="preserve">Network switch - dual-stack, ≥ 48 × 10G and 4 × 40G</w:t>
            </w:r>
          </w:p>
          <w:p>
            <w:pPr>
              <w:spacing w:after="20"/>
            </w:pPr>
            <w:r>
              <w:rPr>
                <w:b w:val="false"/>
                <w:bCs w:val="false"/>
                <w:sz w:val="18"/>
                <w:szCs w:val="18"/>
              </w:rPr>
              <w:t xml:space="preserve">Network switch with ≥ 48× 10 GbE ports and ≥ 4× 40 GbE uplinks, supporting dual-stack IPv4/IPv6, MLAG for redundancy, VLANs, LACP, QoS, SNMP monitoring, redundant power supplies, and web/CLI management. At least 3-day on-site administrator training.</w:t>
            </w:r>
          </w:p>
          <w:p>
            <w:pPr>
              <w:spacing w:after="20"/>
            </w:pPr>
            <w:r>
              <w:rPr>
                <w:b/>
                <w:bCs/>
                <w:sz w:val="18"/>
                <w:szCs w:val="18"/>
              </w:rPr>
              <w:t xml:space="preserve">Required quantity: 1.</w:t>
            </w:r>
          </w:p>
        </w:tc>
        <w:tc>
          <w:tcPr>
            <w:tcW w:type="dxa" w:w="24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19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928"/>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r>
      <w:tr>
        <w:tc>
          <w:tcPr>
            <w:tcW w:type="dxa" w:w="85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jc w:val="center"/>
            </w:pPr>
            <w:r>
              <w:rPr>
                <w:b/>
                <w:bCs/>
                <w:sz w:val="18"/>
                <w:szCs w:val="18"/>
              </w:rPr>
              <w:t xml:space="preserve">4</w:t>
            </w:r>
          </w:p>
        </w:tc>
        <w:tc>
          <w:tcPr>
            <w:tcW w:type="dxa" w:w="86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pPr>
              <w:spacing w:after="20"/>
            </w:pPr>
            <w:r>
              <w:rPr>
                <w:b/>
                <w:bCs/>
                <w:sz w:val="18"/>
                <w:szCs w:val="18"/>
              </w:rPr>
              <w:t xml:space="preserve">Delivery to Niš DC, installation, training &amp; commissioning</w:t>
            </w:r>
          </w:p>
          <w:p>
            <w:pPr>
              <w:spacing w:after="20"/>
            </w:pPr>
            <w:r>
              <w:rPr>
                <w:b w:val="false"/>
                <w:bCs w:val="false"/>
                <w:sz w:val="18"/>
                <w:szCs w:val="18"/>
              </w:rPr>
              <w:t xml:space="preserve">Delivery to Niš DC, installation, training and commissioning.</w:t>
            </w:r>
          </w:p>
          <w:p>
            <w:pPr>
              <w:spacing w:after="20"/>
            </w:pPr>
            <w:r>
              <w:rPr>
                <w:b/>
                <w:bCs/>
                <w:sz w:val="18"/>
                <w:szCs w:val="18"/>
              </w:rPr>
              <w:t xml:space="preserve">Required quantity: 1 (lump sum).</w:t>
            </w:r>
          </w:p>
        </w:tc>
        <w:tc>
          <w:tcPr>
            <w:tcW w:type="dxa" w:w="24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1900"/>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c>
          <w:tcPr>
            <w:tcW w:type="dxa" w:w="928"/>
            <w:tcBorders>
              <w:top w:val="single" w:color="999999" w:sz="4"/>
              <w:left w:val="single" w:color="999999" w:sz="4"/>
              <w:bottom w:val="single" w:color="999999" w:sz="4"/>
              <w:right w:val="single" w:color="999999" w:sz="4"/>
            </w:tcBorders>
            <w:tcMar>
              <w:top w:type="dxa" w:w="60"/>
              <w:left w:type="dxa" w:w="100"/>
              <w:bottom w:type="dxa" w:w="60"/>
              <w:right w:type="dxa" w:w="100"/>
            </w:tcMar>
            <w:vAlign w:val="top"/>
          </w:tcPr>
          <w:p>
            <w:r>
              <w:t xml:space="preserve"/>
            </w:r>
          </w:p>
        </w:tc>
      </w:tr>
    </w:tbl>
    <w:sectPr>
      <w:footerReference w:type="default" r:id="rId7"/>
      <w:headerReference w:type="default" r:id="rId9"/>
      <w:pgSz w:w="16838" w:h="11906" w:orient="landscape"/>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14678"/>
      </w:tabs>
    </w:pPr>
    <w:r>
      <w:rPr>
        <w:sz w:val="14"/>
        <w:szCs w:val="14"/>
      </w:rPr>
      <w:t xml:space="preserve">c4f_annex_ii_techspec_iii_techoffer_en - NINET Local Open Tender</w:t>
    </w:r>
    <w:r>
      <w:rPr>
        <w:sz w:val="14"/>
        <w:szCs w:val="14"/>
      </w:rPr>
      <w:t xml:space="preserve">	Page </w:t>
    </w:r>
    <w:r>
      <w:rPr>
        <w:sz w:val="14"/>
        <w:szCs w:val="14"/>
      </w:rPr>
      <w:fldChar w:fldCharType="begin"/>
      <w:instrText xml:space="preserve">PAGE</w:instrText>
      <w:fldChar w:fldCharType="separate"/>
      <w:fldChar w:fldCharType="end"/>
    </w:r>
    <w:r>
      <w:rPr>
        <w:sz w:val="14"/>
        <w:szCs w:val="14"/>
      </w:rPr>
      <w:t xml:space="preserve"> of </w:t>
    </w:r>
    <w:r>
      <w:rPr>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PA - Interreg logo BG-RS_3.jpg"/>
                  <pic:cNvPicPr/>
                </pic:nvPicPr>
                <pic:blipFill>
                  <a:blip r:embed="rId1"/>
                  <a:stretch>
                    <a:fillRect/>
                  </a:stretch>
                </pic:blipFill>
                <pic:spPr>
                  <a:xfrm>
                    <a:off x="0" y="0"/>
                    <a:ext cx="2103120" cy="634362"/>
                  </a:xfrm>
                  <a:prstGeom prst="rec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Ninet Company d.o.o.</dc:creator>
  <cp:lastModifiedBy>Ninet Company d.o.o.</cp:lastModifiedBy>
  <cp:revision>1</cp:revision>
  <dcterms:created xsi:type="dcterms:W3CDTF">2026-07-21T08:17:59.661Z</dcterms:created>
  <dcterms:modified xsi:type="dcterms:W3CDTF">2026-07-21T08:17:59.667Z</dcterms:modified>
</cp:coreProperties>
</file>

<file path=docProps/custom.xml><?xml version="1.0" encoding="utf-8"?>
<Properties xmlns="http://schemas.openxmlformats.org/officeDocument/2006/custom-properties" xmlns:vt="http://schemas.openxmlformats.org/officeDocument/2006/docPropsVTypes"/>
</file>