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End w:id="1"/>
    <w:bookmarkEnd w:id="2"/>
    <w:p w14:paraId="2E2316F6" w14:textId="083497D9" w:rsidR="0047783A" w:rsidRPr="00B5440B" w:rsidRDefault="0047783A" w:rsidP="00035D61">
      <w:pPr>
        <w:pStyle w:val="Heading1"/>
        <w:keepNext w:val="0"/>
        <w:numPr>
          <w:ilvl w:val="0"/>
          <w:numId w:val="0"/>
        </w:numPr>
        <w:jc w:val="center"/>
        <w:rPr>
          <w:rFonts w:ascii="Times New Roman" w:hAnsi="Times New Roman"/>
          <w:iCs/>
          <w:sz w:val="28"/>
          <w:szCs w:val="28"/>
          <w:lang w:val="en-GB"/>
        </w:rPr>
      </w:pPr>
      <w:r>
        <w:rPr>
          <w:rFonts w:ascii="Times New Roman" w:hAnsi="Times New Roman"/>
          <w:iCs/>
          <w:sz w:val="28"/>
          <w:szCs w:val="28"/>
          <w:lang w:val="en-GB"/>
        </w:rPr>
        <w:t>SPECIAL CONDITIONS</w:t>
      </w:r>
      <w:bookmarkEnd w:id="0"/>
      <w:r>
        <w:rPr>
          <w:rFonts w:ascii="Times New Roman" w:hAnsi="Times New Roman"/>
          <w:iCs/>
          <w:sz w:val="28"/>
          <w:szCs w:val="28"/>
          <w:lang w:val="en-GB"/>
        </w:rPr>
        <w:t xml:space="preserve"> FOR EUROPEAN UNION EXTERNAL ACTIONS</w:t>
      </w:r>
    </w:p>
    <w:p w14:paraId="1334B0B7" w14:textId="1B4198D0" w:rsidR="0047783A" w:rsidRPr="00B5440B" w:rsidRDefault="005A123C" w:rsidP="0047783A">
      <w:pPr>
        <w:spacing w:before="240"/>
        <w:jc w:val="center"/>
      </w:pPr>
      <w:r>
        <w:rPr>
          <w:b/>
          <w:rFonts w:ascii="Times New Roman" w:hAnsi="Times New Roman"/>
          <w:sz w:val="24"/>
          <w:szCs w:val="24"/>
        </w:rPr>
        <w:t xml:space="preserve">Supply of IT and data-centre equipment for the NINET data centre in Niš</w:t>
      </w:r>
    </w:p>
    <w:p w14:paraId="1334B0B7" w14:textId="1B4198D0" w:rsidR="0047783A" w:rsidRPr="00B5440B" w:rsidRDefault="005A123C" w:rsidP="0047783A">
      <w:pPr>
        <w:spacing w:before="240"/>
        <w:jc w:val="center"/>
      </w:pPr>
      <w:r>
        <w:rPr>
          <w:b/>
          <w:rFonts w:ascii="Times New Roman" w:hAnsi="Times New Roman"/>
          <w:sz w:val="24"/>
          <w:szCs w:val="24"/>
        </w:rPr>
        <w:t xml:space="preserve">Publication reference: BGRS0500152-TD01-PP2</w:t>
      </w:r>
    </w:p>
    <w:p w14:paraId="1B4ECA1C" w14:textId="3317773A" w:rsidR="00317D86" w:rsidRPr="003D6B6C" w:rsidRDefault="0047783A" w:rsidP="0047783A">
      <w:pPr>
        <w:jc w:val="both"/>
        <w:rPr>
          <w:rFonts w:ascii="Times New Roman" w:hAnsi="Times New Roman"/>
          <w:sz w:val="22"/>
          <w:szCs w:val="22"/>
        </w:rPr>
      </w:pPr>
      <w:r>
        <w:rPr>
          <w:rFonts w:ascii="Times New Roman" w:hAnsi="Times New Roman"/>
          <w:sz w:val="22"/>
          <w:szCs w:val="22"/>
        </w:rPr>
        <w:t xml:space="preserve">These conditions amplify and supplement the general conditions governing the contract. Unless the special conditions provide otherwise, those general conditions remain fully applicable. The numbering of the articles of the special conditions is not consecutive but follows the numbering of the articles of the general </w:t>
      </w:r>
      <w:bookmarkStart w:id="3" w:name="_Hlk132980891"/>
      <w:r>
        <w:rPr>
          <w:rFonts w:ascii="Times New Roman" w:hAnsi="Times New Roman"/>
          <w:sz w:val="22"/>
          <w:szCs w:val="22"/>
        </w:rPr>
        <w:t xml:space="preserve">conditions. Exceptionally, and with the approval of the competent European Commission departments, other clauses can be indicated to cover particular situations. </w:t>
      </w:r>
      <w:bookmarkEnd w:id="3"/>
    </w:p>
    <w:p w14:paraId="17152D5C" w14:textId="77777777" w:rsidR="00A13EB8" w:rsidRPr="00B5440B" w:rsidRDefault="00A13EB8" w:rsidP="00B5440B">
      <w:pPr>
        <w:outlineLvl w:val="0"/>
        <w:rPr>
          <w:rFonts w:ascii="Times New Roman" w:hAnsi="Times New Roman"/>
          <w:b/>
          <w:sz w:val="24"/>
          <w:szCs w:val="24"/>
        </w:rPr>
      </w:pPr>
      <w:bookmarkStart w:id="4" w:name="_Toc124934896"/>
      <w:r>
        <w:rPr>
          <w:rFonts w:ascii="Times New Roman" w:hAnsi="Times New Roman"/>
          <w:b/>
          <w:sz w:val="24"/>
          <w:szCs w:val="24"/>
        </w:rPr>
        <w:t>The subject of the contract shall be:</w:t>
      </w:r>
    </w:p>
    <w:p w14:paraId="386E5A73" w14:textId="751314ED" w:rsidR="00A13EB8" w:rsidRPr="0043240C" w:rsidRDefault="00A13EB8" w:rsidP="00B5440B">
      <w:pPr>
        <w:spacing w:before="0"/>
        <w:jc w:val="both"/>
        <w:rPr>
          <w:rFonts w:ascii="Times New Roman" w:hAnsi="Times New Roman"/>
          <w:sz w:val="22"/>
        </w:rPr>
      </w:pPr>
      <w:r>
        <w:rPr>
          <w:rFonts w:ascii="Times New Roman" w:hAnsi="Times New Roman"/>
          <w:sz w:val="22"/>
        </w:rPr>
        <w:t xml:space="preserve">the supply, delivery, installation and commissioning,</w:t>
      </w:r>
    </w:p>
    <w:p w14:paraId="7C90C31E" w14:textId="7F79B4AB" w:rsidR="00A13EB8" w:rsidRPr="0043240C" w:rsidRDefault="00A13EB8" w:rsidP="00B5440B">
      <w:pPr>
        <w:spacing w:before="0"/>
        <w:jc w:val="both"/>
        <w:rPr>
          <w:rFonts w:ascii="Times New Roman" w:hAnsi="Times New Roman"/>
          <w:sz w:val="22"/>
        </w:rPr>
      </w:pPr>
      <w:r>
        <w:rPr>
          <w:rFonts w:ascii="Times New Roman" w:hAnsi="Times New Roman"/>
          <w:sz w:val="22"/>
        </w:rPr>
        <w:t>and the after-sales service specifically required by the contract, which will require prior approval in case of subcontracting,</w:t>
      </w:r>
    </w:p>
    <w:p w14:paraId="589A51D4" w14:textId="7816B33E" w:rsidR="00A13EB8" w:rsidRPr="0043240C" w:rsidRDefault="00A13EB8" w:rsidP="00B5440B">
      <w:pPr>
        <w:spacing w:before="0"/>
        <w:jc w:val="both"/>
        <w:rPr>
          <w:rFonts w:ascii="Times New Roman" w:hAnsi="Times New Roman"/>
          <w:sz w:val="22"/>
        </w:rPr>
      </w:pPr>
      <w:r>
        <w:rPr>
          <w:rFonts w:ascii="Times New Roman" w:hAnsi="Times New Roman"/>
          <w:sz w:val="22"/>
        </w:rPr>
        <w:t>of the following supplies:</w:t>
      </w:r>
    </w:p>
    <w:p w14:paraId="33421CA4" w14:textId="77777777" w:rsidR="00A13EB8" w:rsidRPr="0043240C" w:rsidRDefault="00A13EB8" w:rsidP="00B5440B">
      <w:pPr>
        <w:spacing w:before="0"/>
        <w:jc w:val="both"/>
        <w:rPr>
          <w:rFonts w:ascii="Times New Roman" w:hAnsi="Times New Roman"/>
          <w:sz w:val="22"/>
        </w:rPr>
      </w:pPr>
      <w:r>
        <w:rPr>
          <w:rFonts w:ascii="Times New Roman" w:hAnsi="Times New Roman"/>
          <w:sz w:val="22"/>
        </w:rPr>
        <w:t xml:space="preserve">IT and data-centre equipment for the NINET data centre in Niš, Republic of Serbia, in 2 lots:</w:t>
      </w:r>
    </w:p>
    <w:p w14:paraId="0A518544" w14:textId="77777777" w:rsidR="00A13EB8" w:rsidRPr="00A13EB8" w:rsidRDefault="00A13EB8" w:rsidP="00B5440B">
      <w:pPr>
        <w:tabs>
          <w:tab w:val="left" w:pos="709"/>
          <w:tab w:val="left" w:pos="993"/>
        </w:tabs>
        <w:spacing w:before="0"/>
        <w:ind w:left="426"/>
        <w:jc w:val="both"/>
        <w:rPr>
          <w:rFonts w:ascii="Times New Roman" w:hAnsi="Times New Roman"/>
          <w:b/>
          <w:sz w:val="22"/>
        </w:rPr>
      </w:pPr>
      <w:r>
        <w:rPr>
          <w:rFonts w:ascii="Times New Roman" w:hAnsi="Times New Roman"/>
          <w:sz w:val="22"/>
        </w:rPr>
        <w:t>lot no 1: Racks and UPS equipment;</w:t>
      </w:r>
    </w:p>
    <w:p w14:paraId="74723254" w14:textId="77777777" w:rsidR="00A13EB8" w:rsidRPr="00A13EB8" w:rsidRDefault="00A13EB8" w:rsidP="00B5440B">
      <w:pPr>
        <w:tabs>
          <w:tab w:val="left" w:pos="709"/>
          <w:tab w:val="left" w:pos="993"/>
          <w:tab w:val="left" w:pos="1276"/>
        </w:tabs>
        <w:spacing w:before="0"/>
        <w:ind w:left="426"/>
        <w:jc w:val="both"/>
        <w:rPr>
          <w:rFonts w:ascii="Times New Roman" w:hAnsi="Times New Roman"/>
          <w:b/>
          <w:sz w:val="22"/>
        </w:rPr>
      </w:pPr>
      <w:r>
        <w:rPr>
          <w:rFonts w:ascii="Times New Roman" w:hAnsi="Times New Roman"/>
          <w:sz w:val="22"/>
        </w:rPr>
        <w:t>lot no 2: Virtualisation equipment.</w:t>
      </w:r>
    </w:p>
    <w:p w14:paraId="46072CA1" w14:textId="264F1AA0" w:rsidR="00C05EBE" w:rsidRPr="00C05EBE" w:rsidRDefault="00C05EBE" w:rsidP="00B5440B">
      <w:pPr>
        <w:spacing w:before="240"/>
        <w:outlineLvl w:val="0"/>
        <w:rPr>
          <w:rFonts w:ascii="Times New Roman" w:hAnsi="Times New Roman"/>
          <w:b/>
          <w:sz w:val="24"/>
          <w:szCs w:val="24"/>
        </w:rPr>
      </w:pPr>
      <w:bookmarkStart w:id="5" w:name="_Hlk132980677"/>
      <w:r>
        <w:rPr>
          <w:rFonts w:ascii="Times New Roman" w:hAnsi="Times New Roman"/>
          <w:b/>
          <w:sz w:val="24"/>
          <w:szCs w:val="24"/>
        </w:rPr>
        <w:t>Order of precedence of contract documents</w:t>
      </w:r>
    </w:p>
    <w:bookmarkEnd w:id="5"/>
    <w:p w14:paraId="7E8DCE3F" w14:textId="77777777" w:rsidR="00556F39" w:rsidRPr="00556F39" w:rsidRDefault="00556F39" w:rsidP="00B5440B">
      <w:pPr>
        <w:spacing w:before="0"/>
        <w:rPr>
          <w:rFonts w:ascii="Times New Roman" w:hAnsi="Times New Roman"/>
          <w:sz w:val="22"/>
          <w:szCs w:val="22"/>
        </w:rPr>
      </w:pPr>
      <w:r>
        <w:rPr>
          <w:rFonts w:ascii="Times New Roman" w:hAnsi="Times New Roman"/>
          <w:sz w:val="22"/>
          <w:szCs w:val="22"/>
        </w:rPr>
        <w:t>The following documents shall be deemed to form and be read and construed as part of this contract, in the following order of precedence:</w:t>
      </w:r>
    </w:p>
    <w:p w14:paraId="0F320CA8" w14:textId="08CC7185"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the main conditions;</w:t>
      </w:r>
    </w:p>
    <w:p w14:paraId="0E1C4A4C" w14:textId="282403D2"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the special conditions;</w:t>
      </w:r>
    </w:p>
    <w:p w14:paraId="6E5B011A"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the general conditions (Annex I);</w:t>
      </w:r>
    </w:p>
    <w:p w14:paraId="344624D4" w14:textId="2C0D236F"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 xml:space="preserve">the technical specifications (Annex II), including any clarifications provided before the deadline for submission of tenders;</w:t>
      </w:r>
    </w:p>
    <w:p w14:paraId="01FF9F87"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 xml:space="preserve">the technical offer (Annex III), including any clarifications from the tenderer provided during tender evaluation;</w:t>
      </w:r>
    </w:p>
    <w:p w14:paraId="4697AE99"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the budget breakdown (Annex IV);</w:t>
      </w:r>
    </w:p>
    <w:p w14:paraId="4411F209" w14:textId="77777777" w:rsidR="00C05EBE" w:rsidRPr="00C05EBE" w:rsidRDefault="00C05EBE" w:rsidP="00B5440B">
      <w:pPr>
        <w:numPr>
          <w:ilvl w:val="0"/>
          <w:numId w:val="1"/>
        </w:numPr>
        <w:tabs>
          <w:tab w:val="clear" w:pos="360"/>
        </w:tabs>
        <w:spacing w:before="0" w:after="240"/>
        <w:ind w:left="709" w:hanging="425"/>
        <w:jc w:val="both"/>
        <w:rPr>
          <w:rFonts w:ascii="Times New Roman" w:hAnsi="Times New Roman"/>
          <w:sz w:val="22"/>
        </w:rPr>
      </w:pPr>
      <w:r>
        <w:rPr>
          <w:rFonts w:ascii="Times New Roman" w:hAnsi="Times New Roman"/>
          <w:sz w:val="22"/>
        </w:rPr>
        <w:t xml:space="preserve">specified forms and other relevant documents (Annex V).</w:t>
      </w:r>
    </w:p>
    <w:p w14:paraId="06DC3A15" w14:textId="77777777" w:rsidR="00556F39" w:rsidRPr="00556F39" w:rsidRDefault="00C05EBE" w:rsidP="00B5440B">
      <w:pPr>
        <w:spacing w:before="0" w:after="240"/>
        <w:jc w:val="both"/>
        <w:rPr>
          <w:rFonts w:ascii="Times New Roman" w:hAnsi="Times New Roman"/>
          <w:b/>
          <w:bCs/>
          <w:sz w:val="22"/>
          <w:szCs w:val="22"/>
        </w:rPr>
      </w:pPr>
      <w:r>
        <w:rPr>
          <w:rFonts w:ascii="Times New Roman" w:hAnsi="Times New Roman"/>
          <w:b/>
          <w:bCs/>
          <w:sz w:val="22"/>
        </w:rPr>
        <w:t xml:space="preserve">The various documents making up the contract shall be deemed to be mutually explanatory; in cases of ambiguity or divergence, they shall prevail in the order in which they appear above. </w:t>
      </w:r>
      <w:r>
        <w:rPr>
          <w:rFonts w:ascii="Times New Roman" w:hAnsi="Times New Roman"/>
          <w:b/>
          <w:bCs/>
          <w:sz w:val="22"/>
          <w:szCs w:val="22"/>
        </w:rPr>
        <w:t xml:space="preserve">Addenda shall have the order of precedence of the document they are amending. </w:t>
      </w:r>
    </w:p>
    <w:p w14:paraId="66E2A106" w14:textId="0BC202BA" w:rsidR="0047783A" w:rsidRPr="003D6B6C" w:rsidRDefault="0047783A" w:rsidP="00B5440B">
      <w:pPr>
        <w:spacing w:before="0"/>
        <w:ind w:left="1134" w:hanging="1134"/>
        <w:jc w:val="both"/>
        <w:rPr>
          <w:rFonts w:ascii="Times New Roman" w:hAnsi="Times New Roman"/>
          <w:b/>
          <w:sz w:val="24"/>
          <w:szCs w:val="24"/>
        </w:rPr>
      </w:pPr>
      <w:r>
        <w:rPr>
          <w:rFonts w:ascii="Times New Roman" w:hAnsi="Times New Roman"/>
          <w:b/>
          <w:sz w:val="24"/>
          <w:szCs w:val="24"/>
        </w:rPr>
        <w:t>Article 2</w:t>
        <w:tab/>
        <w:t>L</w:t>
      </w:r>
      <w:bookmarkEnd w:id="4"/>
      <w:r>
        <w:rPr>
          <w:rFonts w:ascii="Times New Roman" w:hAnsi="Times New Roman"/>
          <w:b/>
          <w:sz w:val="24"/>
          <w:szCs w:val="24"/>
        </w:rPr>
        <w:t xml:space="preserve">anguage of the contract</w:t>
      </w:r>
    </w:p>
    <w:p w14:paraId="1F484843" w14:textId="77C1C62E" w:rsidR="0047783A" w:rsidRPr="003D6B6C" w:rsidRDefault="0047783A" w:rsidP="004F7A0E">
      <w:pPr>
        <w:ind w:left="1134" w:hanging="567"/>
        <w:rPr>
          <w:rFonts w:ascii="Times New Roman" w:hAnsi="Times New Roman"/>
          <w:sz w:val="22"/>
          <w:szCs w:val="22"/>
        </w:rPr>
      </w:pPr>
      <w:r>
        <w:rPr>
          <w:rFonts w:ascii="Times New Roman" w:hAnsi="Times New Roman"/>
          <w:sz w:val="22"/>
          <w:szCs w:val="22"/>
        </w:rPr>
        <w:t>2.1</w:t>
        <w:tab/>
        <w:t xml:space="preserve">The language used shall 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6" w:name="_Toc124934897"/>
      <w:r>
        <w:rPr>
          <w:rFonts w:ascii="Times New Roman" w:hAnsi="Times New Roman"/>
          <w:b/>
          <w:sz w:val="24"/>
          <w:szCs w:val="24"/>
        </w:rPr>
        <w:t>Article 4</w:t>
        <w:tab/>
        <w:t>Communications</w:t>
      </w:r>
      <w:bookmarkEnd w:id="6"/>
    </w:p>
    <w:p w14:paraId="3481FE5E" w14:textId="7BD3E1E0" w:rsidR="003F3783" w:rsidRPr="003F3783" w:rsidRDefault="000724EA" w:rsidP="00B5440B">
      <w:pPr>
        <w:ind w:left="1134" w:hanging="567"/>
        <w:rPr>
          <w:rFonts w:ascii="Times New Roman" w:hAnsi="Times New Roman"/>
          <w:sz w:val="22"/>
          <w:szCs w:val="22"/>
        </w:rPr>
      </w:pPr>
      <w:r>
        <w:rPr>
          <w:rFonts w:ascii="Times New Roman" w:hAnsi="Times New Roman"/>
          <w:sz w:val="22"/>
          <w:szCs w:val="22"/>
        </w:rPr>
        <w:t>4.1</w:t>
        <w:tab/>
      </w:r>
      <w:bookmarkStart w:id="7" w:name="_Hlk133420374"/>
      <w:r>
        <w:rPr>
          <w:rFonts w:ascii="Times New Roman" w:hAnsi="Times New Roman"/>
          <w:sz w:val="22"/>
          <w:szCs w:val="22"/>
        </w:rPr>
        <w:t>Communication details</w:t>
      </w:r>
    </w:p>
    <w:p w14:paraId="7A08231A" w14:textId="0BA39A04" w:rsidR="003F3783" w:rsidRPr="003F3783" w:rsidRDefault="003F3783" w:rsidP="00B5440B">
      <w:pPr>
        <w:spacing w:before="0"/>
        <w:ind w:left="1134" w:hanging="567"/>
        <w:jc w:val="both"/>
        <w:rPr>
          <w:rFonts w:ascii="Times New Roman" w:hAnsi="Times New Roman"/>
          <w:b/>
          <w:bCs/>
          <w:sz w:val="22"/>
          <w:szCs w:val="22"/>
        </w:rPr>
      </w:pPr>
      <w:bookmarkStart w:id="8" w:name="_Hlk133420420"/>
      <w:bookmarkEnd w:id="7"/>
      <w:r>
        <w:rPr>
          <w:rFonts w:ascii="Times New Roman" w:hAnsi="Times New Roman"/>
          <w:sz w:val="22"/>
          <w:szCs w:val="22"/>
        </w:rPr>
        <w:t>4.4</w:t>
        <w:tab/>
        <w:t>Communication via electronic exchange system (EES)</w:t>
      </w:r>
      <w:r>
        <w:rPr>
          <w:rFonts w:ascii="Times New Roman" w:hAnsi="Times New Roman"/>
          <w:b/>
          <w:bCs/>
          <w:sz w:val="22"/>
          <w:szCs w:val="22"/>
        </w:rPr>
        <w:t> </w:t>
      </w:r>
    </w:p>
    <w:p w14:paraId="25379D2D" w14:textId="4F33E1FF" w:rsidR="003F3783" w:rsidRPr="003F3783" w:rsidRDefault="003F3783" w:rsidP="00B5440B">
      <w:pPr>
        <w:spacing w:before="0"/>
        <w:ind w:left="1134"/>
        <w:jc w:val="both"/>
        <w:rPr>
          <w:rFonts w:ascii="Times New Roman" w:hAnsi="Times New Roman"/>
          <w:sz w:val="22"/>
          <w:szCs w:val="22"/>
        </w:rPr>
      </w:pPr>
      <w:r>
        <w:rPr>
          <w:rFonts w:ascii="Times New Roman" w:hAnsi="Times New Roman"/>
          <w:sz w:val="22"/>
          <w:szCs w:val="22"/>
        </w:rPr>
        <w:t xml:space="preserve">No electronic exchange system is used by the contracting authority and the contractor at the entry into force of this contract. All communications under this contract shall be made by mail or email in accordance with Articles 4.5 and 4.6 below.</w:t>
      </w:r>
    </w:p>
    <w:p w14:paraId="485D03AC" w14:textId="77777777" w:rsidR="003F3783" w:rsidRPr="003F3783" w:rsidRDefault="003F3783" w:rsidP="00B5440B">
      <w:pPr>
        <w:spacing w:before="0"/>
        <w:ind w:left="1134"/>
        <w:jc w:val="both"/>
        <w:textAlignment w:val="baseline"/>
        <w:rPr>
          <w:rFonts w:ascii="Times New Roman" w:hAnsi="Times New Roman"/>
          <w:snapToGrid/>
          <w:sz w:val="24"/>
          <w:szCs w:val="24"/>
          <w:lang w:val="en-US" w:eastAsia="fr-BE"/>
        </w:rPr>
      </w:pPr>
      <w:r>
        <w:rPr>
          <w:rFonts w:ascii="Times New Roman" w:hAnsi="Times New Roman"/>
          <w:snapToGrid/>
          <w:sz w:val="22"/>
          <w:szCs w:val="22"/>
          <w:lang w:val="en-US" w:eastAsia="fr-BE"/>
        </w:rPr>
        <w:t xml:space="preserve">After the entry into force of this </w:t>
      </w:r>
      <w:r>
        <w:rPr>
          <w:rFonts w:ascii="Times New Roman" w:hAnsi="Times New Roman"/>
          <w:snapToGrid/>
          <w:color w:val="000000"/>
          <w:sz w:val="22"/>
          <w:szCs w:val="22"/>
          <w:lang w:eastAsia="fr-BE"/>
        </w:rPr>
        <w:t>contract</w:t>
      </w:r>
      <w:r>
        <w:rPr>
          <w:rFonts w:ascii="Times New Roman" w:hAnsi="Times New Roman"/>
          <w:snapToGrid/>
          <w:sz w:val="22"/>
          <w:szCs w:val="22"/>
          <w:lang w:val="en-US" w:eastAsia="fr-BE"/>
        </w:rPr>
        <w:t xml:space="preserve">, at any time during its course the contracting authority may formally notify in writing the contractor that </w:t>
      </w:r>
      <w:r>
        <w:rPr>
          <w:rFonts w:ascii="Times New Roman" w:hAnsi="Times New Roman"/>
          <w:snapToGrid/>
          <w:sz w:val="22"/>
          <w:szCs w:val="22"/>
          <w:lang w:eastAsia="fr-BE"/>
        </w:rPr>
        <w:t xml:space="preserve">certain communications will be made by electronic means through the </w:t>
      </w:r>
      <w:r>
        <w:rPr>
          <w:rFonts w:ascii="Times New Roman" w:hAnsi="Times New Roman"/>
          <w:snapToGrid/>
          <w:sz w:val="22"/>
          <w:szCs w:val="22"/>
          <w:lang w:eastAsia="en-GB"/>
        </w:rPr>
        <w:t>EU Funding &amp; Tenders Portal (the</w:t>
      </w:r>
      <w:r>
        <w:rPr>
          <w:rFonts w:ascii="Times New Roman" w:hAnsi="Times New Roman"/>
          <w:snapToGrid/>
          <w:sz w:val="22"/>
          <w:szCs w:val="22"/>
          <w:lang w:eastAsia="fr-BE"/>
        </w:rPr>
        <w:t xml:space="preserve"> Portal), in accordance with the Portal Terms and Conditions and using the forms and templates provided there. The Portal can be accessed via the following URL: </w:t>
      </w:r>
      <w:hyperlink r:id="rId10" w:history="1">
        <w:r>
          <w:rPr>
            <w:rFonts w:ascii="Times New Roman" w:hAnsi="Times New Roman"/>
            <w:snapToGrid/>
            <w:color w:val="0000FF"/>
            <w:sz w:val="22"/>
            <w:szCs w:val="22"/>
            <w:u w:val="single"/>
            <w:lang w:eastAsia="fr-BE"/>
          </w:rPr>
          <w:t>https://ec.europa.eu/info/funding-tenders/opportunities/portal/</w:t>
        </w:r>
      </w:hyperlink>
      <w:r>
        <w:rPr>
          <w:rFonts w:ascii="Times New Roman" w:hAnsi="Times New Roman"/>
          <w:snapToGrid/>
          <w:sz w:val="22"/>
          <w:szCs w:val="22"/>
          <w:lang w:eastAsia="fr-BE"/>
        </w:rPr>
        <w:t xml:space="preserve"> </w:t>
      </w:r>
      <w:r>
        <w:rPr>
          <w:rFonts w:ascii="Times New Roman" w:hAnsi="Times New Roman"/>
          <w:snapToGrid/>
          <w:sz w:val="22"/>
          <w:szCs w:val="22"/>
          <w:lang w:val="en-US" w:eastAsia="fr-BE"/>
        </w:rPr>
        <w:t xml:space="preserve">The notification shall indicate whether all or only certain communications under the </w:t>
      </w:r>
      <w:r>
        <w:rPr>
          <w:rFonts w:ascii="Times New Roman" w:hAnsi="Times New Roman"/>
          <w:snapToGrid/>
          <w:color w:val="000000"/>
          <w:sz w:val="22"/>
          <w:szCs w:val="22"/>
          <w:lang w:eastAsia="fr-BE"/>
        </w:rPr>
        <w:t>contract</w:t>
      </w:r>
      <w:r>
        <w:rPr>
          <w:rFonts w:ascii="Times New Roman" w:hAnsi="Times New Roman"/>
          <w:snapToGrid/>
          <w:sz w:val="22"/>
          <w:szCs w:val="22"/>
          <w:lang w:val="en-US" w:eastAsia="fr-BE"/>
        </w:rPr>
        <w:t xml:space="preserve"> will take place through the Portal. The notification shall have full legal effect from the date specified therein, which shall allow a reasonable period of time for the contractor to complete all necessary steps to have access to the Portal.</w:t>
      </w:r>
      <w:r>
        <w:rPr>
          <w:rFonts w:ascii="Times New Roman" w:hAnsi="Times New Roman"/>
          <w:snapToGrid/>
          <w:sz w:val="22"/>
          <w:szCs w:val="22"/>
          <w:lang w:eastAsia="fr-BE"/>
        </w:rPr>
        <w:t xml:space="preserve"> The activation of the use of the Portal shall be </w:t>
      </w:r>
      <w:r>
        <w:rPr>
          <w:rFonts w:ascii="Times New Roman" w:hAnsi="Times New Roman"/>
          <w:snapToGrid/>
          <w:sz w:val="22"/>
          <w:szCs w:val="22"/>
          <w:lang w:val="en-US" w:eastAsia="fr-BE"/>
        </w:rPr>
        <w:t>at no additional cost for the contracting authority</w:t>
      </w:r>
      <w:r>
        <w:rPr>
          <w:rFonts w:ascii="Times New Roman" w:hAnsi="Times New Roman"/>
          <w:snapToGrid/>
          <w:sz w:val="22"/>
          <w:szCs w:val="22"/>
          <w:lang w:eastAsia="fr-BE"/>
        </w:rPr>
        <w:t>.</w:t>
      </w:r>
    </w:p>
    <w:p w14:paraId="3362C1D0" w14:textId="77777777" w:rsidR="003F3783" w:rsidRPr="003F3783" w:rsidRDefault="003F3783" w:rsidP="00B5440B">
      <w:pPr>
        <w:spacing w:before="0"/>
        <w:ind w:left="1134"/>
        <w:jc w:val="both"/>
        <w:textAlignment w:val="baseline"/>
        <w:rPr>
          <w:rFonts w:ascii="Times New Roman" w:hAnsi="Times New Roman"/>
          <w:snapToGrid/>
          <w:sz w:val="24"/>
          <w:szCs w:val="24"/>
          <w:lang w:val="en-IE" w:eastAsia="fr-BE"/>
        </w:rPr>
      </w:pPr>
      <w:r>
        <w:rPr>
          <w:rFonts w:ascii="Times New Roman" w:hAnsi="Times New Roman"/>
          <w:snapToGrid/>
          <w:sz w:val="22"/>
          <w:szCs w:val="22"/>
          <w:lang w:eastAsia="fr-BE"/>
        </w:rPr>
        <w:t xml:space="preserve">If the use of the Portal is activated, any communication covered by the activation notification related to the implementation of this </w:t>
      </w:r>
      <w:r>
        <w:rPr>
          <w:rFonts w:ascii="Times New Roman" w:hAnsi="Times New Roman"/>
          <w:snapToGrid/>
          <w:color w:val="000000"/>
          <w:sz w:val="22"/>
          <w:szCs w:val="22"/>
          <w:lang w:eastAsia="fr-BE"/>
        </w:rPr>
        <w:t>contract</w:t>
      </w:r>
      <w:r>
        <w:rPr>
          <w:rFonts w:ascii="Times New Roman" w:hAnsi="Times New Roman"/>
          <w:snapToGrid/>
          <w:sz w:val="22"/>
          <w:szCs w:val="22"/>
          <w:lang w:eastAsia="fr-BE"/>
        </w:rPr>
        <w:t xml:space="preserve"> shall be made through the </w:t>
      </w:r>
      <w:r>
        <w:rPr>
          <w:rFonts w:ascii="Times New Roman" w:hAnsi="Times New Roman"/>
          <w:bCs/>
          <w:snapToGrid/>
          <w:sz w:val="22"/>
          <w:szCs w:val="22"/>
          <w:lang w:eastAsia="fr-BE"/>
        </w:rPr>
        <w:t>Portal</w:t>
      </w:r>
      <w:r>
        <w:rPr>
          <w:rFonts w:ascii="Times New Roman" w:hAnsi="Times New Roman"/>
          <w:bCs/>
          <w:snapToGrid/>
          <w:sz w:val="22"/>
          <w:szCs w:val="22"/>
          <w:lang w:val="en-IE" w:eastAsia="fr-BE"/>
        </w:rPr>
        <w:t xml:space="preserve"> </w:t>
      </w:r>
      <w:r>
        <w:rPr>
          <w:rFonts w:ascii="Times New Roman" w:hAnsi="Times New Roman"/>
          <w:bCs/>
          <w:snapToGrid/>
          <w:sz w:val="22"/>
          <w:szCs w:val="22"/>
          <w:lang w:eastAsia="fr-BE"/>
        </w:rPr>
        <w:t>(except if explicitly instructed otherwise by the contracting authority or if communication via the Portal is hindered by factors beyond the control of the parties).</w:t>
      </w:r>
    </w:p>
    <w:p w14:paraId="6EB22AB7" w14:textId="77777777" w:rsidR="003F3783" w:rsidRPr="003F3783" w:rsidRDefault="003F3783" w:rsidP="00B5440B">
      <w:pPr>
        <w:spacing w:before="0"/>
        <w:ind w:left="1134"/>
        <w:jc w:val="both"/>
        <w:textAlignment w:val="baseline"/>
        <w:rPr>
          <w:rFonts w:ascii="Times New Roman" w:hAnsi="Times New Roman"/>
          <w:snapToGrid/>
          <w:sz w:val="24"/>
          <w:szCs w:val="24"/>
        </w:rPr>
      </w:pPr>
      <w:r>
        <w:rPr>
          <w:rFonts w:ascii="Times New Roman" w:hAnsi="Times New Roman"/>
          <w:snapToGrid/>
          <w:sz w:val="22"/>
          <w:szCs w:val="22"/>
          <w:lang w:val="en-US" w:eastAsia="en-GB"/>
        </w:rPr>
        <w:t xml:space="preserve">Communications by contractors through the Portal must be made by persons authorised according to the Portal Terms and Conditions. </w:t>
      </w:r>
      <w:r>
        <w:rPr>
          <w:rFonts w:ascii="Times New Roman" w:hAnsi="Times New Roman"/>
          <w:snapToGrid/>
          <w:sz w:val="22"/>
          <w:szCs w:val="22"/>
          <w:lang w:eastAsia="fr-BE"/>
        </w:rPr>
        <w:t>For naming the authorised persons to use the Portal, each contractor must designate before the date of effect of the activation notification a ‘legal entity appointed representative (LEAR)’. The role and tasks of the LEAR are stipulated in their appointment letter (see Portal Terms and Conditions).</w:t>
      </w:r>
    </w:p>
    <w:p w14:paraId="441DACBC" w14:textId="77777777" w:rsidR="003F3783" w:rsidRPr="003F3783" w:rsidRDefault="003F3783" w:rsidP="00B5440B">
      <w:pPr>
        <w:spacing w:before="0"/>
        <w:ind w:left="1134"/>
        <w:jc w:val="both"/>
        <w:textAlignment w:val="baseline"/>
        <w:rPr>
          <w:rFonts w:ascii="Times New Roman" w:hAnsi="Times New Roman"/>
          <w:snapToGrid/>
          <w:sz w:val="24"/>
          <w:lang w:eastAsia="fr-BE"/>
        </w:rPr>
      </w:pPr>
      <w:r>
        <w:rPr>
          <w:rFonts w:ascii="Times New Roman" w:hAnsi="Times New Roman"/>
          <w:snapToGrid/>
          <w:sz w:val="22"/>
          <w:szCs w:val="22"/>
          <w:lang w:eastAsia="fr-BE"/>
        </w:rPr>
        <w:t>If the communication via the Portal is hindered, instructions will be provided by the contracting authority by email and may also be published on the Portal.</w:t>
      </w:r>
    </w:p>
    <w:p w14:paraId="417884AF" w14:textId="77777777" w:rsidR="003F3783" w:rsidRPr="003F3783" w:rsidRDefault="003F3783" w:rsidP="00B5440B">
      <w:pPr>
        <w:spacing w:before="0"/>
        <w:ind w:left="1134"/>
        <w:jc w:val="both"/>
        <w:textAlignment w:val="baseline"/>
        <w:rPr>
          <w:rFonts w:ascii="Times New Roman" w:hAnsi="Times New Roman"/>
          <w:snapToGrid/>
          <w:sz w:val="22"/>
          <w:szCs w:val="22"/>
          <w:lang w:eastAsia="fr-BE"/>
        </w:rPr>
      </w:pPr>
      <w:r>
        <w:rPr>
          <w:rFonts w:ascii="Times New Roman" w:hAnsi="Times New Roman"/>
          <w:snapToGrid/>
          <w:sz w:val="22"/>
          <w:szCs w:val="22"/>
          <w:lang w:eastAsia="fr-BE"/>
        </w:rPr>
        <w:t xml:space="preserve">During the course of the </w:t>
      </w:r>
      <w:r>
        <w:rPr>
          <w:rFonts w:ascii="Times New Roman" w:hAnsi="Times New Roman"/>
          <w:snapToGrid/>
          <w:color w:val="000000"/>
          <w:sz w:val="22"/>
          <w:szCs w:val="22"/>
          <w:lang w:eastAsia="fr-BE"/>
        </w:rPr>
        <w:t>contract</w:t>
      </w:r>
      <w:r>
        <w:rPr>
          <w:rFonts w:ascii="Times New Roman" w:hAnsi="Times New Roman"/>
          <w:snapToGrid/>
          <w:sz w:val="22"/>
          <w:szCs w:val="22"/>
          <w:lang w:eastAsia="fr-BE"/>
        </w:rPr>
        <w:t xml:space="preserve">, the contracting authority reserve(s) the right to further extend the coverage of the communications made through the Portal (if its use has been already activated) or to activate the use of other electronic exchange systems, </w:t>
      </w:r>
      <w:r>
        <w:rPr>
          <w:rFonts w:ascii="Times New Roman" w:hAnsi="Times New Roman"/>
          <w:snapToGrid/>
          <w:sz w:val="22"/>
          <w:szCs w:val="22"/>
          <w:lang w:val="en-US" w:eastAsia="fr-BE"/>
        </w:rPr>
        <w:t>at no additional cost for the contracting authority</w:t>
      </w:r>
      <w:r>
        <w:rPr>
          <w:rFonts w:ascii="Times New Roman" w:hAnsi="Times New Roman"/>
          <w:snapToGrid/>
          <w:sz w:val="22"/>
          <w:szCs w:val="22"/>
          <w:lang w:eastAsia="fr-BE"/>
        </w:rPr>
        <w:t>.</w:t>
      </w:r>
    </w:p>
    <w:p w14:paraId="478705FD" w14:textId="77777777" w:rsidR="003F3783" w:rsidRPr="003F3783" w:rsidRDefault="003F3783" w:rsidP="00B5440B">
      <w:pPr>
        <w:spacing w:before="0" w:after="240"/>
        <w:ind w:left="1134"/>
        <w:jc w:val="both"/>
        <w:rPr>
          <w:rFonts w:ascii="Times New Roman" w:hAnsi="Times New Roman"/>
          <w:snapToGrid/>
          <w:color w:val="000000"/>
          <w:sz w:val="22"/>
          <w:szCs w:val="22"/>
          <w:lang w:eastAsia="fr-BE"/>
        </w:rPr>
      </w:pPr>
      <w:r>
        <w:rPr>
          <w:rFonts w:ascii="Times New Roman" w:hAnsi="Times New Roman"/>
          <w:snapToGrid/>
          <w:sz w:val="22"/>
          <w:szCs w:val="22"/>
          <w:lang w:eastAsia="fr-BE"/>
        </w:rPr>
        <w:t xml:space="preserve">In case of discrepancy between the clauses of the Portal Terms and Conditions or Terms and Conditions of other electronic exchange system and the clauses of this contract, the clauses of this contract (including its annexes) shall prevail.</w:t>
      </w:r>
    </w:p>
    <w:p w14:paraId="7F1BE0E1" w14:textId="1471D4E6" w:rsidR="003F3783" w:rsidRDefault="003F3783" w:rsidP="00B5440B">
      <w:pPr>
        <w:ind w:left="1134" w:hanging="992"/>
        <w:jc w:val="both"/>
        <w:rPr>
          <w:rFonts w:ascii="Times New Roman" w:hAnsi="Times New Roman"/>
          <w:iCs/>
          <w:sz w:val="22"/>
          <w:szCs w:val="22"/>
        </w:rPr>
      </w:pPr>
      <w:r>
        <w:rPr>
          <w:rFonts w:ascii="Times New Roman" w:hAnsi="Times New Roman"/>
          <w:sz w:val="22"/>
          <w:szCs w:val="22"/>
        </w:rPr>
        <w:t>4.5 &amp; 4.6</w:t>
        <w:tab/>
      </w:r>
      <w:r>
        <w:rPr>
          <w:rFonts w:ascii="Times New Roman" w:hAnsi="Times New Roman"/>
          <w:iCs/>
          <w:sz w:val="22"/>
          <w:szCs w:val="22"/>
        </w:rPr>
        <w:t>Mail or email communication </w:t>
      </w:r>
    </w:p>
    <w:p w14:paraId="19BB35F4" w14:textId="18DB4AC8" w:rsidR="003F3783" w:rsidRPr="003F3783" w:rsidRDefault="003F3783" w:rsidP="00B5440B">
      <w:pPr>
        <w:keepNext/>
        <w:keepLines/>
        <w:spacing w:before="0"/>
        <w:ind w:left="1134"/>
        <w:jc w:val="both"/>
        <w:rPr>
          <w:rFonts w:ascii="Times New Roman" w:hAnsi="Times New Roman"/>
          <w:snapToGrid/>
          <w:sz w:val="22"/>
          <w:szCs w:val="22"/>
          <w:lang w:eastAsia="en-GB"/>
        </w:rPr>
      </w:pPr>
      <w:r>
        <w:rPr>
          <w:rFonts w:ascii="Times New Roman" w:hAnsi="Times New Roman"/>
          <w:snapToGrid/>
          <w:sz w:val="22"/>
          <w:szCs w:val="22"/>
          <w:lang w:eastAsia="en-GB"/>
        </w:rPr>
        <w:t xml:space="preserve">Until and unless the use of the Portal is activated in accordance with Article 4.4 above, all communications shall be sent by email or, exceptionally, on paper via mail services, to the addresses set out below.</w:t>
      </w:r>
    </w:p>
    <w:p w14:paraId="3E118F28" w14:textId="77777777" w:rsidR="003F3783" w:rsidRPr="003F3783" w:rsidRDefault="003F3783" w:rsidP="00B5440B">
      <w:pPr>
        <w:spacing w:before="0"/>
        <w:ind w:left="1134"/>
        <w:jc w:val="both"/>
        <w:textAlignment w:val="baseline"/>
        <w:rPr>
          <w:rFonts w:ascii="Times New Roman" w:hAnsi="Times New Roman"/>
          <w:snapToGrid/>
          <w:sz w:val="24"/>
          <w:szCs w:val="24"/>
          <w:lang w:eastAsia="fr-BE"/>
        </w:rPr>
      </w:pPr>
      <w:r>
        <w:rPr>
          <w:rFonts w:ascii="Times New Roman" w:hAnsi="Times New Roman"/>
          <w:snapToGrid/>
          <w:sz w:val="22"/>
          <w:szCs w:val="22"/>
          <w:lang w:eastAsia="fr-BE"/>
        </w:rPr>
        <w:t xml:space="preserve">For the purpose of this </w:t>
      </w:r>
      <w:r>
        <w:rPr>
          <w:rFonts w:ascii="Times New Roman" w:hAnsi="Times New Roman"/>
          <w:snapToGrid/>
          <w:color w:val="000000"/>
          <w:sz w:val="22"/>
          <w:szCs w:val="22"/>
          <w:lang w:eastAsia="fr-BE"/>
        </w:rPr>
        <w:t>contract</w:t>
      </w:r>
      <w:r>
        <w:rPr>
          <w:rFonts w:ascii="Times New Roman" w:hAnsi="Times New Roman"/>
          <w:snapToGrid/>
          <w:sz w:val="22"/>
          <w:szCs w:val="22"/>
          <w:lang w:eastAsia="fr-BE"/>
        </w:rPr>
        <w:t>, mail or email communications must be sent to the following addresses: </w:t>
      </w:r>
    </w:p>
    <w:p w14:paraId="42ADD03E" w14:textId="77777777" w:rsidR="003F3783" w:rsidRPr="003F3783" w:rsidRDefault="003F3783" w:rsidP="00B5440B">
      <w:pPr>
        <w:spacing w:before="0"/>
        <w:ind w:left="1134"/>
        <w:textAlignment w:val="baseline"/>
        <w:rPr>
          <w:rFonts w:ascii="Times New Roman" w:hAnsi="Times New Roman"/>
          <w:snapToGrid/>
          <w:sz w:val="22"/>
          <w:szCs w:val="22"/>
          <w:lang w:eastAsia="fr-BE"/>
        </w:rPr>
      </w:pPr>
      <w:r>
        <w:rPr>
          <w:rFonts w:ascii="Times New Roman" w:hAnsi="Times New Roman"/>
          <w:snapToGrid/>
          <w:sz w:val="22"/>
          <w:szCs w:val="22"/>
          <w:lang w:eastAsia="fr-BE"/>
        </w:rPr>
        <w:t>Contracting authority: </w:t>
      </w:r>
    </w:p>
    <w:p w14:paraId="6592EBC5" w14:textId="77777777" w:rsidR="003F3783" w:rsidRPr="003F3783" w:rsidRDefault="003F3783" w:rsidP="003F3783">
      <w:pPr>
        <w:spacing w:before="0" w:after="100" w:afterAutospacing="1"/>
        <w:ind w:left="1194"/>
        <w:textAlignment w:val="baseline"/>
        <w:rPr>
          <w:rFonts w:ascii="Times New Roman" w:hAnsi="Times New Roman"/>
          <w:snapToGrid/>
          <w:sz w:val="22"/>
          <w:szCs w:val="22"/>
          <w:lang w:val="en-IE" w:eastAsia="fr-BE"/>
        </w:rPr>
      </w:pPr>
      <w:r>
        <w:rPr>
          <w:rFonts w:ascii="Times New Roman" w:hAnsi="Times New Roman"/>
          <w:snapToGrid/>
          <w:sz w:val="22"/>
          <w:szCs w:val="22"/>
          <w:lang w:val="en-IE" w:eastAsia="fr-BE"/>
        </w:rPr>
        <w:t xml:space="preserve">Ninet Company d.o.o.</w:t>
      </w:r>
    </w:p>
    <w:p w14:paraId="506BD435" w14:textId="77777777" w:rsidR="003F3783" w:rsidRPr="003F3783" w:rsidRDefault="003F3783" w:rsidP="003F3783">
      <w:pPr>
        <w:spacing w:before="0" w:after="100" w:afterAutospacing="1"/>
        <w:ind w:left="1194"/>
        <w:textAlignment w:val="baseline"/>
        <w:rPr>
          <w:rFonts w:ascii="Times New Roman" w:hAnsi="Times New Roman"/>
          <w:snapToGrid/>
          <w:sz w:val="22"/>
          <w:szCs w:val="22"/>
          <w:lang w:val="en-IE" w:eastAsia="fr-BE"/>
        </w:rPr>
      </w:pPr>
      <w:r>
        <w:rPr>
          <w:rFonts w:ascii="Times New Roman" w:hAnsi="Times New Roman"/>
          <w:snapToGrid/>
          <w:sz w:val="22"/>
          <w:szCs w:val="22"/>
          <w:lang w:val="en-IE" w:eastAsia="fr-BE"/>
        </w:rPr>
        <w:t xml:space="preserve">Bulevar Nemanjića 25, TC Zona 3 lok. K6, 18000 Niš, Republic of Serbia</w:t>
      </w:r>
    </w:p>
    <w:p w14:paraId="53B8E7D2" w14:textId="77777777" w:rsidR="003F3783" w:rsidRPr="003F3783" w:rsidRDefault="003F3783" w:rsidP="003F3783">
      <w:pPr>
        <w:spacing w:before="0" w:after="100" w:afterAutospacing="1"/>
        <w:ind w:left="1194"/>
        <w:textAlignment w:val="baseline"/>
        <w:rPr>
          <w:rFonts w:ascii="Times New Roman" w:hAnsi="Times New Roman"/>
          <w:snapToGrid/>
          <w:sz w:val="22"/>
          <w:szCs w:val="22"/>
          <w:lang w:val="en-IE" w:eastAsia="fr-BE"/>
        </w:rPr>
      </w:pPr>
      <w:r>
        <w:rPr>
          <w:rFonts w:ascii="Times New Roman" w:hAnsi="Times New Roman"/>
          <w:snapToGrid/>
          <w:sz w:val="22"/>
          <w:szCs w:val="22"/>
          <w:lang w:val="en-IE" w:eastAsia="fr-BE"/>
        </w:rPr>
        <w:t xml:space="preserve">Company registration number (matični broj): 17499114 - Tax identification number (PIB): 102876366</w:t>
      </w:r>
    </w:p>
    <w:p w14:paraId="53B8E7D2" w14:textId="77777777" w:rsidR="003F3783" w:rsidRPr="003F3783" w:rsidRDefault="003F3783" w:rsidP="003F3783">
      <w:pPr>
        <w:spacing w:before="0" w:after="100" w:afterAutospacing="1"/>
        <w:ind w:left="1194"/>
        <w:textAlignment w:val="baseline"/>
        <w:rPr>
          <w:rFonts w:ascii="Times New Roman" w:hAnsi="Times New Roman"/>
          <w:snapToGrid/>
          <w:sz w:val="22"/>
          <w:szCs w:val="22"/>
          <w:lang w:val="en-IE" w:eastAsia="fr-BE"/>
        </w:rPr>
      </w:pPr>
      <w:r>
        <w:rPr>
          <w:rFonts w:ascii="Times New Roman" w:hAnsi="Times New Roman"/>
          <w:snapToGrid/>
          <w:sz w:val="22"/>
          <w:szCs w:val="22"/>
          <w:lang w:val="en-IE" w:eastAsia="fr-BE"/>
        </w:rPr>
        <w:t xml:space="preserve">For the attention of: Nebojša Simić</w:t>
      </w:r>
    </w:p>
    <w:p w14:paraId="77A232B6" w14:textId="08F07EF6" w:rsidR="003F3783" w:rsidRPr="003F3783" w:rsidRDefault="003F3783" w:rsidP="00B5440B">
      <w:pPr>
        <w:spacing w:before="0" w:after="240"/>
        <w:ind w:left="1196"/>
        <w:textAlignment w:val="baseline"/>
        <w:rPr>
          <w:rFonts w:ascii="Times New Roman" w:hAnsi="Times New Roman"/>
          <w:snapToGrid/>
          <w:sz w:val="22"/>
          <w:szCs w:val="22"/>
          <w:lang w:val="en-IE" w:eastAsia="fr-BE"/>
        </w:rPr>
      </w:pPr>
      <w:r>
        <w:rPr>
          <w:rFonts w:ascii="Times New Roman" w:hAnsi="Times New Roman"/>
          <w:snapToGrid/>
          <w:sz w:val="22"/>
          <w:szCs w:val="22"/>
          <w:lang w:val="en-IE" w:eastAsia="fr-BE"/>
        </w:rPr>
        <w:t>Email: ipabgsr@ninet.rs</w:t>
      </w:r>
    </w:p>
    <w:p w14:paraId="6BBB6A0E" w14:textId="77777777" w:rsidR="003F3783" w:rsidRPr="003F3783" w:rsidRDefault="003F3783" w:rsidP="003F3783">
      <w:pPr>
        <w:spacing w:before="100" w:beforeAutospacing="1" w:after="100" w:afterAutospacing="1"/>
        <w:ind w:left="1194"/>
        <w:textAlignment w:val="baseline"/>
        <w:rPr>
          <w:rFonts w:ascii="Times New Roman" w:hAnsi="Times New Roman"/>
          <w:snapToGrid/>
          <w:sz w:val="22"/>
          <w:szCs w:val="22"/>
          <w:lang w:eastAsia="fr-BE"/>
        </w:rPr>
      </w:pPr>
      <w:r>
        <w:rPr>
          <w:rFonts w:ascii="Times New Roman" w:hAnsi="Times New Roman"/>
          <w:snapToGrid/>
          <w:sz w:val="22"/>
          <w:szCs w:val="22"/>
          <w:lang w:eastAsia="fr-BE"/>
        </w:rPr>
        <w:t>Contractor (or leader in the case of a joint tender): </w:t>
      </w:r>
    </w:p>
    <w:p w14:paraId="0FE088EF"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Pr>
          <w:rFonts w:ascii="Times New Roman" w:hAnsi="Times New Roman"/>
          <w:snapToGrid/>
          <w:sz w:val="22"/>
          <w:szCs w:val="22"/>
          <w:lang w:eastAsia="fr-BE"/>
        </w:rPr>
        <w:t xml:space="preserve">Name: ______________________________</w:t>
      </w:r>
    </w:p>
    <w:p w14:paraId="33F1F764"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Pr>
          <w:rFonts w:ascii="Times New Roman" w:hAnsi="Times New Roman"/>
          <w:snapToGrid/>
          <w:sz w:val="22"/>
          <w:szCs w:val="22"/>
          <w:lang w:eastAsia="fr-BE"/>
        </w:rPr>
        <w:t xml:space="preserve">Function: ______________________________</w:t>
      </w:r>
    </w:p>
    <w:p w14:paraId="64AC8481"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Pr>
          <w:rFonts w:ascii="Times New Roman" w:hAnsi="Times New Roman"/>
          <w:snapToGrid/>
          <w:sz w:val="22"/>
          <w:szCs w:val="22"/>
          <w:lang w:eastAsia="fr-BE"/>
        </w:rPr>
        <w:t xml:space="preserve">Company name: ______________________________</w:t>
      </w:r>
    </w:p>
    <w:p w14:paraId="49642626"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Pr>
          <w:rFonts w:ascii="Times New Roman" w:hAnsi="Times New Roman"/>
          <w:snapToGrid/>
          <w:sz w:val="22"/>
          <w:szCs w:val="22"/>
          <w:lang w:eastAsia="fr-BE"/>
        </w:rPr>
        <w:t xml:space="preserve">Full official address: ______________________________</w:t>
      </w:r>
    </w:p>
    <w:p w14:paraId="22185F1E"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Pr>
          <w:rFonts w:ascii="Times New Roman" w:hAnsi="Times New Roman"/>
          <w:snapToGrid/>
          <w:sz w:val="22"/>
          <w:szCs w:val="22"/>
          <w:lang w:eastAsia="fr-BE"/>
        </w:rPr>
        <w:t xml:space="preserve">Email: ______________________________</w:t>
      </w:r>
    </w:p>
    <w:bookmarkEnd w:id="8"/>
    <w:p w14:paraId="1314341F" w14:textId="77777777" w:rsidR="0047783A" w:rsidRPr="003D6B6C" w:rsidRDefault="0047783A" w:rsidP="00B5440B">
      <w:pPr>
        <w:keepNext/>
        <w:spacing w:before="240"/>
        <w:ind w:left="1134" w:hanging="1134"/>
        <w:jc w:val="both"/>
        <w:rPr>
          <w:rFonts w:ascii="Times New Roman" w:hAnsi="Times New Roman"/>
          <w:b/>
          <w:sz w:val="24"/>
          <w:szCs w:val="24"/>
        </w:rPr>
      </w:pPr>
      <w:bookmarkStart w:id="9" w:name="_Toc124934898"/>
      <w:r>
        <w:rPr>
          <w:rFonts w:ascii="Times New Roman" w:hAnsi="Times New Roman"/>
          <w:b/>
          <w:sz w:val="24"/>
          <w:szCs w:val="24"/>
        </w:rPr>
        <w:lastRenderedPageBreak/>
        <w:t>Article 7</w:t>
        <w:tab/>
        <w:t>Supply of documents</w:t>
      </w:r>
      <w:bookmarkEnd w:id="9"/>
    </w:p>
    <w:p w14:paraId="09203E64" w14:textId="77777777" w:rsidR="0047783A" w:rsidRPr="003D6B6C" w:rsidRDefault="0047783A" w:rsidP="00B34179">
      <w:pPr>
        <w:jc w:val="both"/>
        <w:rPr>
          <w:rFonts w:ascii="Times New Roman" w:hAnsi="Times New Roman"/>
          <w:b/>
          <w:sz w:val="22"/>
          <w:szCs w:val="22"/>
        </w:rPr>
      </w:pPr>
      <w:r>
        <w:rPr>
          <w:rFonts w:ascii="Times New Roman" w:hAnsi="Times New Roman"/>
          <w:sz w:val="22"/>
          <w:szCs w:val="22"/>
        </w:rPr>
        <w:t xml:space="preserve">7.1</w:t>
        <w:tab/>
        <w:t xml:space="preserve">The documents to be supplied by the contractor are those listed in the technical specifications (Annex II) and in the technical offer (Annex III), namely the technical documentation, the installation and configuration documentation, the user manuals, the licence certificates and the warranty certificates of the supplies. They shall be supplied in English and submitted to the project manager for approval at the latest together with the request for provisional acceptance.</w:t>
      </w:r>
    </w:p>
    <w:p w14:paraId="35062D7D" w14:textId="77777777" w:rsidR="0047783A" w:rsidRPr="003D6B6C" w:rsidRDefault="0047783A" w:rsidP="00B34179">
      <w:pPr>
        <w:spacing w:before="240"/>
        <w:ind w:left="1134" w:hanging="1134"/>
        <w:jc w:val="both"/>
        <w:rPr>
          <w:rFonts w:ascii="Times New Roman" w:hAnsi="Times New Roman"/>
          <w:b/>
          <w:sz w:val="24"/>
          <w:szCs w:val="24"/>
        </w:rPr>
      </w:pPr>
      <w:bookmarkStart w:id="10" w:name="_Toc124934899"/>
      <w:r>
        <w:rPr>
          <w:rFonts w:ascii="Times New Roman" w:hAnsi="Times New Roman"/>
          <w:b/>
          <w:sz w:val="24"/>
          <w:szCs w:val="24"/>
        </w:rPr>
        <w:t>Article 8</w:t>
        <w:tab/>
        <w:t>Assistance with local regulations</w:t>
      </w:r>
      <w:bookmarkEnd w:id="10"/>
    </w:p>
    <w:p w14:paraId="490BDFDD" w14:textId="77777777" w:rsidR="0047783A" w:rsidRPr="003D6B6C" w:rsidRDefault="0047783A" w:rsidP="00B34179">
      <w:pPr>
        <w:jc w:val="both"/>
        <w:rPr>
          <w:rFonts w:ascii="Times New Roman" w:hAnsi="Times New Roman"/>
          <w:sz w:val="22"/>
          <w:szCs w:val="22"/>
        </w:rPr>
      </w:pPr>
      <w:r>
        <w:rPr>
          <w:rFonts w:ascii="Times New Roman" w:hAnsi="Times New Roman"/>
          <w:sz w:val="22"/>
          <w:szCs w:val="22"/>
        </w:rPr>
        <w:t xml:space="preserve">8.1</w:t>
        <w:tab/>
        <w:t xml:space="preserve">N/A. No specific arrangements supplement Article 8 of the general conditions, which applies without amendment.</w:t>
      </w:r>
    </w:p>
    <w:p w14:paraId="6797F7C0" w14:textId="77777777" w:rsidR="00E0396B" w:rsidRPr="00B5440B" w:rsidRDefault="00E0396B" w:rsidP="00FE689C">
      <w:pPr>
        <w:tabs>
          <w:tab w:val="left" w:pos="1134"/>
        </w:tabs>
        <w:jc w:val="both"/>
        <w:rPr>
          <w:rFonts w:ascii="Times New Roman" w:hAnsi="Times New Roman"/>
          <w:b/>
          <w:sz w:val="24"/>
          <w:szCs w:val="24"/>
        </w:rPr>
      </w:pPr>
      <w:r>
        <w:rPr>
          <w:rFonts w:ascii="Times New Roman" w:hAnsi="Times New Roman"/>
          <w:b/>
          <w:sz w:val="24"/>
          <w:szCs w:val="24"/>
        </w:rPr>
        <w:t>Article 9</w:t>
        <w:tab/>
        <w:t xml:space="preserve">General obligations</w:t>
      </w:r>
    </w:p>
    <w:p w14:paraId="4C08721E" w14:textId="1DF02949" w:rsidR="00E0396B" w:rsidRPr="003D6B6C" w:rsidRDefault="00E0396B" w:rsidP="006B5E82">
      <w:pPr>
        <w:tabs>
          <w:tab w:val="left" w:pos="426"/>
        </w:tabs>
        <w:ind w:left="1134" w:right="-2" w:hanging="708"/>
        <w:jc w:val="both"/>
        <w:rPr>
          <w:rFonts w:ascii="Times New Roman" w:hAnsi="Times New Roman"/>
          <w:sz w:val="22"/>
          <w:szCs w:val="22"/>
        </w:rPr>
      </w:pPr>
      <w:r>
        <w:rPr>
          <w:rFonts w:ascii="Times New Roman" w:hAnsi="Times New Roman"/>
          <w:sz w:val="22"/>
          <w:szCs w:val="22"/>
        </w:rPr>
        <w:t xml:space="preserve">9.9</w:t>
        <w:tab/>
        <w:t xml:space="preserve">The contractor shall comply with the Communication and Visibility Requirements for EU-funded external actions published by the European Commission and shall implement the visibility measures set out in the technical specifications (Annex II), in particular by affixing to the supplies delivered durable visibility labels referring to the financial support of the European Union under the Interreg VI-A IPA Bulgaria–Serbia programme.</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11" w:name="_Toc124934900"/>
      <w:r>
        <w:rPr>
          <w:rFonts w:ascii="Times New Roman" w:hAnsi="Times New Roman"/>
          <w:b/>
          <w:sz w:val="24"/>
          <w:szCs w:val="24"/>
        </w:rPr>
        <w:t>Article 10</w:t>
        <w:tab/>
        <w:t>Origin</w:t>
      </w:r>
      <w:bookmarkEnd w:id="11"/>
    </w:p>
    <w:p w14:paraId="15627E38" w14:textId="02A60031" w:rsidR="00683E34" w:rsidRDefault="0047783A" w:rsidP="00B5440B">
      <w:pPr>
        <w:pStyle w:val="Heading2"/>
        <w:keepNext w:val="0"/>
        <w:numPr>
          <w:ilvl w:val="1"/>
          <w:numId w:val="0"/>
        </w:numPr>
        <w:spacing w:before="0"/>
        <w:ind w:left="1134" w:hanging="708"/>
        <w:jc w:val="both"/>
        <w:rPr>
          <w:rFonts w:ascii="Times New Roman" w:hAnsi="Times New Roman"/>
          <w:sz w:val="22"/>
          <w:szCs w:val="22"/>
          <w:lang w:val="en-IE"/>
        </w:rPr>
      </w:pPr>
      <w:r>
        <w:rPr>
          <w:rFonts w:ascii="Times New Roman" w:hAnsi="Times New Roman"/>
          <w:sz w:val="22"/>
          <w:szCs w:val="22"/>
          <w:lang w:val="en-GB"/>
        </w:rPr>
        <w:t xml:space="preserve">10.1</w:t>
        <w:tab/>
        <w:t xml:space="preserve">All goods purchased under this contract may originate in any country.</w:t>
      </w:r>
    </w:p>
    <w:p w14:paraId="04B63533" w14:textId="0E6E4A65" w:rsidR="008B230C" w:rsidRPr="003D6B6C" w:rsidRDefault="0047783A" w:rsidP="00B5440B">
      <w:pPr>
        <w:spacing w:before="0"/>
        <w:ind w:left="1134"/>
        <w:jc w:val="both"/>
        <w:rPr>
          <w:rFonts w:ascii="Times New Roman" w:hAnsi="Times New Roman"/>
          <w:sz w:val="22"/>
          <w:szCs w:val="22"/>
        </w:rPr>
      </w:pPr>
      <w:r>
        <w:rPr>
          <w:rFonts w:ascii="Times New Roman" w:hAnsi="Times New Roman"/>
          <w:sz w:val="22"/>
          <w:szCs w:val="22"/>
        </w:rPr>
        <w:t xml:space="preserve">No certificate of origin and no declaration of origin is required for the goods.</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15" w:name="_Toc124934901"/>
      <w:r>
        <w:rPr>
          <w:rFonts w:ascii="Times New Roman" w:hAnsi="Times New Roman"/>
          <w:b/>
          <w:sz w:val="24"/>
          <w:szCs w:val="24"/>
        </w:rPr>
        <w:t>Article 11</w:t>
        <w:tab/>
        <w:t>Performance guarantee</w:t>
      </w:r>
      <w:bookmarkEnd w:id="15"/>
    </w:p>
    <w:p w14:paraId="20BFEFF7" w14:textId="77777777" w:rsidR="00D25711" w:rsidRPr="003D6B6C" w:rsidRDefault="0049293D" w:rsidP="003D6B6C">
      <w:pPr>
        <w:ind w:left="1134"/>
        <w:jc w:val="both"/>
        <w:rPr>
          <w:rFonts w:ascii="Times New Roman" w:hAnsi="Times New Roman"/>
          <w:sz w:val="22"/>
          <w:szCs w:val="22"/>
        </w:rPr>
      </w:pPr>
      <w:r>
        <w:rPr>
          <w:rFonts w:ascii="Times New Roman" w:hAnsi="Times New Roman"/>
          <w:sz w:val="22"/>
          <w:szCs w:val="22"/>
        </w:rPr>
        <w:t xml:space="preserve">11.1</w:t>
        <w:tab/>
        <w:t xml:space="preserve">No performance guarantee is required.</w:t>
      </w:r>
    </w:p>
    <w:p w14:paraId="7E65A926" w14:textId="77777777" w:rsidR="0047783A" w:rsidRPr="003D6B6C" w:rsidRDefault="0047783A" w:rsidP="00B34179">
      <w:pPr>
        <w:spacing w:before="240"/>
        <w:ind w:left="1134" w:hanging="1134"/>
        <w:jc w:val="both"/>
        <w:rPr>
          <w:rFonts w:ascii="Times New Roman" w:hAnsi="Times New Roman"/>
          <w:b/>
          <w:sz w:val="24"/>
          <w:szCs w:val="24"/>
        </w:rPr>
      </w:pPr>
      <w:bookmarkStart w:id="16" w:name="_Toc124934902"/>
      <w:r>
        <w:rPr>
          <w:rFonts w:ascii="Times New Roman" w:hAnsi="Times New Roman"/>
          <w:b/>
          <w:sz w:val="24"/>
          <w:szCs w:val="24"/>
        </w:rPr>
        <w:t>Article 12</w:t>
        <w:tab/>
        <w:t xml:space="preserve">Liabilities and insurance</w:t>
      </w:r>
      <w:bookmarkEnd w:id="16"/>
    </w:p>
    <w:p w14:paraId="1D170F84" w14:textId="77777777" w:rsidR="0049293D" w:rsidRDefault="004D33C9" w:rsidP="00B5440B">
      <w:pPr>
        <w:tabs>
          <w:tab w:val="left" w:pos="1134"/>
        </w:tabs>
        <w:spacing w:before="0"/>
        <w:ind w:left="1134" w:hanging="708"/>
        <w:jc w:val="both"/>
        <w:rPr>
          <w:rFonts w:ascii="Times New Roman" w:hAnsi="Times New Roman"/>
          <w:sz w:val="22"/>
          <w:szCs w:val="22"/>
        </w:rPr>
      </w:pPr>
      <w:r>
        <w:rPr>
          <w:rFonts w:ascii="Times New Roman" w:hAnsi="Times New Roman"/>
          <w:sz w:val="22"/>
          <w:szCs w:val="22"/>
        </w:rPr>
        <w:t xml:space="preserve">12.1(a)</w:t>
        <w:tab/>
        <w:t xml:space="preserve">N/A. No specific requirements supplement Article 12.1(a) of the general conditions, which applies without amendment.</w:t>
      </w:r>
    </w:p>
    <w:p w14:paraId="24B75441" w14:textId="77777777" w:rsidR="0049293D" w:rsidRDefault="004D33C9" w:rsidP="00B5440B">
      <w:pPr>
        <w:tabs>
          <w:tab w:val="left" w:pos="1134"/>
        </w:tabs>
        <w:spacing w:before="0"/>
        <w:ind w:left="1134" w:hanging="708"/>
        <w:jc w:val="both"/>
        <w:rPr>
          <w:rFonts w:ascii="Times New Roman" w:hAnsi="Times New Roman"/>
          <w:sz w:val="22"/>
          <w:szCs w:val="22"/>
        </w:rPr>
      </w:pPr>
      <w:r>
        <w:rPr>
          <w:rFonts w:ascii="Times New Roman" w:hAnsi="Times New Roman"/>
          <w:sz w:val="22"/>
          <w:szCs w:val="22"/>
        </w:rPr>
        <w:t xml:space="preserve">12.1(b)</w:t>
        <w:tab/>
        <w:t xml:space="preserve">N/A. No specific requirements supplement Article 12.1(b) of the general conditions, which applies without amendment.</w:t>
      </w:r>
    </w:p>
    <w:p w14:paraId="061B1AE8" w14:textId="77777777" w:rsidR="0049293D" w:rsidRDefault="003D6B6C" w:rsidP="00B5440B">
      <w:pPr>
        <w:tabs>
          <w:tab w:val="left" w:pos="1843"/>
        </w:tabs>
        <w:spacing w:before="0"/>
        <w:ind w:left="1843" w:hanging="1843"/>
        <w:jc w:val="both"/>
        <w:rPr>
          <w:rFonts w:ascii="Times New Roman" w:hAnsi="Times New Roman"/>
          <w:sz w:val="22"/>
          <w:szCs w:val="22"/>
        </w:rPr>
      </w:pPr>
      <w:r>
        <w:rPr>
          <w:rFonts w:ascii="Times New Roman" w:hAnsi="Times New Roman"/>
          <w:sz w:val="22"/>
          <w:szCs w:val="22"/>
        </w:rPr>
        <w:t xml:space="preserve">12.2(a), paragraph 1</w:t>
        <w:tab/>
        <w:t xml:space="preserve">N/A. Article 12.2(a), paragraph 1, of the general conditions applies without amendment: the contractor shall be adequately insured at the latest together with the return of the countersigned contract and for the period of implementation of the tasks.</w:t>
      </w:r>
    </w:p>
    <w:p w14:paraId="5F24C6E8" w14:textId="77777777" w:rsidR="0049293D" w:rsidRDefault="003D6B6C" w:rsidP="00B5440B">
      <w:pPr>
        <w:tabs>
          <w:tab w:val="left" w:pos="1843"/>
        </w:tabs>
        <w:spacing w:before="0"/>
        <w:ind w:left="1843" w:hanging="1843"/>
        <w:jc w:val="both"/>
        <w:rPr>
          <w:rFonts w:ascii="Times New Roman" w:hAnsi="Times New Roman"/>
          <w:sz w:val="22"/>
          <w:szCs w:val="22"/>
        </w:rPr>
      </w:pPr>
      <w:r>
        <w:rPr>
          <w:rFonts w:ascii="Times New Roman" w:hAnsi="Times New Roman"/>
          <w:sz w:val="22"/>
          <w:szCs w:val="22"/>
        </w:rPr>
        <w:t xml:space="preserve">12.2(a), paragraph 2</w:t>
        <w:tab/>
        <w:t xml:space="preserve">N/A. Article 12.2(a), paragraph 2, of the general conditions applies without amendment: the cover notes and/or insurance certificates shall be provided to the contracting authority at the latest together with the return of the countersigned contract.</w:t>
      </w:r>
    </w:p>
    <w:p w14:paraId="74BC38C6" w14:textId="77777777" w:rsidR="00584F28" w:rsidRPr="003D6B6C" w:rsidRDefault="003D6B6C" w:rsidP="00B5440B">
      <w:pPr>
        <w:spacing w:before="0"/>
        <w:ind w:left="1843" w:hanging="1843"/>
        <w:jc w:val="both"/>
        <w:rPr>
          <w:rFonts w:ascii="Times New Roman" w:hAnsi="Times New Roman"/>
          <w:sz w:val="22"/>
          <w:szCs w:val="22"/>
        </w:rPr>
      </w:pPr>
      <w:r>
        <w:rPr>
          <w:rFonts w:ascii="Times New Roman" w:hAnsi="Times New Roman"/>
          <w:sz w:val="22"/>
          <w:szCs w:val="22"/>
        </w:rPr>
        <w:t xml:space="preserve">12.2(b), paragraph 2</w:t>
        <w:tab/>
        <w:t xml:space="preserve">The Incoterm applicable to this contract is DDP (Delivered Duty Paid) - Incoterms 2020. The contractor therefore assumes all transportation risks in bringing the supplies to the place of acceptance and shall provide transport insurance to the extent of the risks it so assumes, covering loading, intermediate storage, unloading, stowage and protection, theft, damage, loss and deterioration of the supplies, until their delivery at the place of acceptance.</w:t>
      </w:r>
    </w:p>
    <w:p w14:paraId="674BFA44" w14:textId="77777777" w:rsidR="0047783A" w:rsidRPr="003D6B6C" w:rsidRDefault="0047783A" w:rsidP="00B34179">
      <w:pPr>
        <w:spacing w:before="240"/>
        <w:ind w:left="1134" w:hanging="1134"/>
        <w:jc w:val="both"/>
        <w:rPr>
          <w:rFonts w:ascii="Times New Roman" w:hAnsi="Times New Roman"/>
          <w:b/>
          <w:sz w:val="24"/>
          <w:szCs w:val="24"/>
        </w:rPr>
      </w:pPr>
      <w:bookmarkStart w:id="17" w:name="_Toc124934903"/>
      <w:r>
        <w:rPr>
          <w:rFonts w:ascii="Times New Roman" w:hAnsi="Times New Roman"/>
          <w:b/>
          <w:sz w:val="24"/>
          <w:szCs w:val="24"/>
        </w:rPr>
        <w:t>Article 13</w:t>
        <w:tab/>
      </w:r>
      <w:bookmarkEnd w:id="17"/>
      <w:r>
        <w:rPr>
          <w:rFonts w:ascii="Times New Roman" w:hAnsi="Times New Roman"/>
          <w:b/>
          <w:sz w:val="24"/>
          <w:szCs w:val="24"/>
        </w:rPr>
        <w:t>Programme of implementation of tasks</w:t>
      </w:r>
    </w:p>
    <w:p w14:paraId="68CCF8F0" w14:textId="77777777" w:rsidR="0047783A" w:rsidRPr="003D6B6C" w:rsidRDefault="00AC1107" w:rsidP="005D03AA">
      <w:pPr>
        <w:ind w:left="1134" w:hanging="709"/>
        <w:jc w:val="both"/>
        <w:rPr>
          <w:rFonts w:ascii="Times New Roman" w:hAnsi="Times New Roman"/>
          <w:b/>
          <w:sz w:val="22"/>
          <w:szCs w:val="22"/>
        </w:rPr>
      </w:pPr>
      <w:r>
        <w:rPr>
          <w:rFonts w:ascii="Times New Roman" w:hAnsi="Times New Roman"/>
          <w:sz w:val="22"/>
          <w:szCs w:val="22"/>
        </w:rPr>
        <w:t xml:space="preserve">13.2</w:t>
        <w:tab/>
        <w:t xml:space="preserve">N/A. No programme of implementation of the tasks is required under Article 13 of the general conditions.</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04"/>
      <w:r>
        <w:rPr>
          <w:rFonts w:ascii="Times New Roman" w:hAnsi="Times New Roman"/>
          <w:b/>
          <w:sz w:val="24"/>
          <w:szCs w:val="24"/>
        </w:rPr>
        <w:t>Article 14</w:t>
        <w:tab/>
        <w:t>Contractor’s drawings</w:t>
      </w:r>
      <w:bookmarkEnd w:id="18"/>
    </w:p>
    <w:p w14:paraId="62741992" w14:textId="77777777" w:rsidR="0047783A" w:rsidRPr="003D6B6C" w:rsidRDefault="005B0129" w:rsidP="005D03AA">
      <w:pPr>
        <w:ind w:left="1134" w:hanging="709"/>
        <w:jc w:val="both"/>
        <w:rPr>
          <w:rFonts w:ascii="Times New Roman" w:hAnsi="Times New Roman"/>
          <w:sz w:val="22"/>
          <w:szCs w:val="22"/>
        </w:rPr>
      </w:pPr>
      <w:r>
        <w:rPr>
          <w:rFonts w:ascii="Times New Roman" w:hAnsi="Times New Roman"/>
          <w:sz w:val="22"/>
          <w:szCs w:val="22"/>
        </w:rPr>
        <w:t xml:space="preserve">14.1</w:t>
        <w:tab/>
        <w:t xml:space="preserve">N/A. No drawings or samples are required from the contractor. The manuals and other documents to be provided are those referred to in Article 7 above.</w:t>
      </w:r>
    </w:p>
    <w:p w14:paraId="1B05DF2B" w14:textId="0014A6D7" w:rsidR="0047783A" w:rsidRDefault="0047783A" w:rsidP="00B34179">
      <w:pPr>
        <w:spacing w:before="240"/>
        <w:ind w:left="1134" w:hanging="1134"/>
        <w:jc w:val="both"/>
        <w:rPr>
          <w:rFonts w:ascii="Times New Roman" w:hAnsi="Times New Roman"/>
          <w:b/>
          <w:sz w:val="24"/>
          <w:szCs w:val="24"/>
        </w:rPr>
      </w:pPr>
      <w:bookmarkStart w:id="19" w:name="_Toc124934905"/>
      <w:r>
        <w:rPr>
          <w:rFonts w:ascii="Times New Roman" w:hAnsi="Times New Roman"/>
          <w:b/>
          <w:sz w:val="24"/>
          <w:szCs w:val="24"/>
        </w:rPr>
        <w:lastRenderedPageBreak/>
        <w:t>Article 15</w:t>
        <w:tab/>
        <w:t>Sufficiency of tender prices</w:t>
      </w:r>
      <w:bookmarkEnd w:id="19"/>
    </w:p>
    <w:p w14:paraId="53D3FA29" w14:textId="21A49189" w:rsidR="009F323B" w:rsidRPr="003D6B6C" w:rsidRDefault="009F323B" w:rsidP="00B5440B">
      <w:pPr>
        <w:jc w:val="both"/>
        <w:rPr>
          <w:rFonts w:ascii="Times New Roman" w:hAnsi="Times New Roman"/>
          <w:b/>
          <w:sz w:val="24"/>
          <w:szCs w:val="24"/>
        </w:rPr>
      </w:pPr>
      <w:r>
        <w:rPr>
          <w:rFonts w:ascii="Times New Roman" w:hAnsi="Times New Roman"/>
          <w:sz w:val="22"/>
        </w:rPr>
        <w:t xml:space="preserve">The price of the supplies shall be that shown on the financial offer (specimen in Annex IV). </w:t>
      </w:r>
    </w:p>
    <w:p w14:paraId="4B4F2207" w14:textId="77777777" w:rsidR="0047783A" w:rsidRPr="003D6B6C" w:rsidRDefault="005B0129" w:rsidP="005D03AA">
      <w:pPr>
        <w:ind w:left="1134" w:hanging="709"/>
        <w:jc w:val="both"/>
        <w:rPr>
          <w:rFonts w:ascii="Times New Roman" w:hAnsi="Times New Roman"/>
          <w:sz w:val="22"/>
          <w:szCs w:val="22"/>
        </w:rPr>
      </w:pPr>
      <w:r>
        <w:rPr>
          <w:rFonts w:ascii="Times New Roman" w:hAnsi="Times New Roman"/>
          <w:sz w:val="22"/>
          <w:szCs w:val="22"/>
        </w:rPr>
        <w:t xml:space="preserve">15.1</w:t>
        <w:tab/>
        <w:t xml:space="preserve">The price for item 7 of Lot 1 (electrical and cabling works, installation, training and commissioning) is a LUMP SUM, fixed and not subject to revision. No detailed electrical design documentation exists for these works. A site visit was held for all prospective tenderers during the tender period. In accordance with Article 15.1 of the general conditions, the contractor is deemed to have satisfied itself, before submitting its tender, as to the site conditions, distances, cable routes and the existing main building distribution panel, and to have included in its lump-sum price all costs required for the full and proper execution of these works, so that the installation is complete, tested and fully operational. No claim for additional works arising from site conditions which were ascertainable at the site visit shall be accepted.</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Pr>
          <w:rFonts w:ascii="Times New Roman" w:hAnsi="Times New Roman"/>
          <w:b/>
          <w:sz w:val="24"/>
          <w:szCs w:val="24"/>
        </w:rPr>
        <w:t>Article 16</w:t>
        <w:tab/>
        <w:t>Tax and customs arrangements</w:t>
      </w:r>
    </w:p>
    <w:p w14:paraId="6AF4FC5B" w14:textId="77777777" w:rsidR="00C52305" w:rsidRPr="003D6B6C" w:rsidRDefault="00C52305" w:rsidP="00C52305">
      <w:pPr>
        <w:ind w:left="1134" w:hanging="709"/>
        <w:jc w:val="both"/>
        <w:rPr>
          <w:rFonts w:ascii="Times New Roman" w:hAnsi="Times New Roman"/>
          <w:sz w:val="22"/>
          <w:szCs w:val="22"/>
        </w:rPr>
      </w:pPr>
      <w:r>
        <w:rPr>
          <w:rFonts w:ascii="Times New Roman" w:hAnsi="Times New Roman"/>
          <w:sz w:val="22"/>
          <w:szCs w:val="22"/>
        </w:rPr>
        <w:t xml:space="preserve">16.1</w:t>
        <w:tab/>
        <w:t xml:space="preserve">The delivery conditions are DDP (Delivered Duty Paid) as provided for in Article 16.1 of the general conditions. No tax and customs exemption agreement is applicable to this contract. All customs duties, import charges and other taxes, with the exception of value added tax (VAT), shall be borne by the contractor and shall be included in its prices. All prices shall be quoted, and the contract concluded, EXCLUDING VAT. VAT shall be shown separately in the financial offer and shall be invoiced separately by the contractor in accordance with the legislation of the Republic of Serbia.</w:t>
      </w: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20" w:name="_Toc124934906"/>
      <w:r>
        <w:rPr>
          <w:rFonts w:ascii="Times New Roman" w:hAnsi="Times New Roman"/>
          <w:b/>
          <w:sz w:val="24"/>
          <w:szCs w:val="24"/>
        </w:rPr>
        <w:t>Article 17</w:t>
        <w:tab/>
        <w:t>Patents and licences</w:t>
      </w:r>
      <w:bookmarkEnd w:id="20"/>
    </w:p>
    <w:p w14:paraId="43D1F54B" w14:textId="77777777" w:rsidR="0047783A" w:rsidRPr="003D6B6C" w:rsidRDefault="005B0129" w:rsidP="005D03AA">
      <w:pPr>
        <w:ind w:left="1134" w:hanging="709"/>
        <w:jc w:val="both"/>
        <w:rPr>
          <w:rFonts w:ascii="Times New Roman" w:hAnsi="Times New Roman"/>
          <w:sz w:val="22"/>
          <w:szCs w:val="22"/>
        </w:rPr>
      </w:pPr>
      <w:r>
        <w:rPr>
          <w:rFonts w:ascii="Times New Roman" w:hAnsi="Times New Roman"/>
          <w:sz w:val="22"/>
          <w:szCs w:val="22"/>
        </w:rPr>
        <w:t xml:space="preserve">17.1</w:t>
        <w:tab/>
        <w:t xml:space="preserve">N/A. There is no derogation from Article 17 of the general conditions.</w:t>
      </w:r>
    </w:p>
    <w:p w14:paraId="68BC2499" w14:textId="33514831" w:rsidR="00EB32E9" w:rsidRPr="003D6B6C" w:rsidRDefault="0047783A" w:rsidP="00B34179">
      <w:pPr>
        <w:spacing w:before="240"/>
        <w:ind w:left="1134" w:hanging="1134"/>
        <w:jc w:val="both"/>
        <w:rPr>
          <w:rFonts w:ascii="Times New Roman" w:hAnsi="Times New Roman"/>
          <w:b/>
          <w:sz w:val="24"/>
          <w:szCs w:val="24"/>
        </w:rPr>
      </w:pPr>
      <w:bookmarkStart w:id="21" w:name="_Toc124934907"/>
      <w:r>
        <w:rPr>
          <w:rFonts w:ascii="Times New Roman" w:hAnsi="Times New Roman"/>
          <w:b/>
          <w:sz w:val="24"/>
          <w:szCs w:val="24"/>
        </w:rPr>
        <w:t>Article 18</w:t>
        <w:tab/>
        <w:t xml:space="preserve">Delivery order</w:t>
      </w:r>
      <w:bookmarkEnd w:id="21"/>
      <w:r>
        <w:rPr>
          <w:rFonts w:ascii="Times New Roman" w:hAnsi="Times New Roman"/>
          <w:b/>
          <w:sz w:val="24"/>
          <w:szCs w:val="24"/>
        </w:rPr>
        <w:t xml:space="preserve"> </w:t>
      </w:r>
    </w:p>
    <w:p w14:paraId="14D4E012" w14:textId="02D3D236" w:rsidR="0047783A" w:rsidRPr="003D6B6C" w:rsidRDefault="0047783A" w:rsidP="005D03AA">
      <w:pPr>
        <w:ind w:left="1134" w:hanging="709"/>
        <w:jc w:val="both"/>
        <w:rPr>
          <w:rFonts w:ascii="Times New Roman" w:hAnsi="Times New Roman"/>
          <w:sz w:val="22"/>
          <w:szCs w:val="22"/>
        </w:rPr>
      </w:pPr>
      <w:r>
        <w:rPr>
          <w:rFonts w:ascii="Times New Roman" w:hAnsi="Times New Roman"/>
          <w:sz w:val="22"/>
          <w:szCs w:val="22"/>
        </w:rPr>
        <w:t xml:space="preserve">18.1</w:t>
        <w:tab/>
        <w:t xml:space="preserve">Implementation of the tasks shall commence on the date of signature of the contract by both parties.</w:t>
      </w:r>
    </w:p>
    <w:p w14:paraId="40415148" w14:textId="00E142B9" w:rsidR="0047783A" w:rsidRPr="003D6B6C" w:rsidRDefault="0047783A" w:rsidP="00B34179">
      <w:pPr>
        <w:spacing w:before="240"/>
        <w:ind w:left="1134" w:hanging="1134"/>
        <w:jc w:val="both"/>
        <w:rPr>
          <w:rFonts w:ascii="Times New Roman" w:hAnsi="Times New Roman"/>
          <w:b/>
          <w:sz w:val="24"/>
          <w:szCs w:val="24"/>
        </w:rPr>
      </w:pPr>
      <w:bookmarkStart w:id="22" w:name="_Toc124934908"/>
      <w:r>
        <w:rPr>
          <w:rFonts w:ascii="Times New Roman" w:hAnsi="Times New Roman"/>
          <w:b/>
          <w:sz w:val="24"/>
          <w:szCs w:val="24"/>
        </w:rPr>
        <w:t>Article 19</w:t>
        <w:tab/>
        <w:t xml:space="preserve">Period of implementation</w:t>
      </w:r>
      <w:bookmarkEnd w:id="22"/>
      <w:r>
        <w:rPr>
          <w:rFonts w:ascii="Times New Roman" w:hAnsi="Times New Roman"/>
          <w:b/>
          <w:sz w:val="24"/>
          <w:szCs w:val="24"/>
        </w:rPr>
        <w:t xml:space="preserve"> of the tasks</w:t>
      </w:r>
    </w:p>
    <w:p w14:paraId="513EDC65" w14:textId="7C468B79" w:rsidR="00BD1517" w:rsidRDefault="0047783A" w:rsidP="00B5440B">
      <w:pPr>
        <w:spacing w:before="0"/>
        <w:ind w:left="1134" w:hanging="709"/>
        <w:jc w:val="both"/>
        <w:rPr>
          <w:rFonts w:ascii="Times New Roman" w:hAnsi="Times New Roman"/>
          <w:sz w:val="22"/>
        </w:rPr>
      </w:pPr>
      <w:r>
        <w:rPr>
          <w:rFonts w:ascii="Times New Roman" w:hAnsi="Times New Roman"/>
          <w:sz w:val="22"/>
          <w:szCs w:val="22"/>
        </w:rPr>
        <w:t xml:space="preserve">19.1</w:t>
        <w:tab/>
        <w:t xml:space="preserve">The time limit for delivery and the period of implementation of the tasks shall run from the date on which the contract enters into force, that is to say the date of signature of the contract by both parties, and shall be:</w:t>
      </w:r>
    </w:p>
    <w:p w14:paraId="14FE33CD" w14:textId="5EBB0A64" w:rsidR="00A13EB8" w:rsidRDefault="00A13EB8" w:rsidP="00B5440B">
      <w:pPr>
        <w:spacing w:before="0"/>
        <w:ind w:left="1134"/>
        <w:jc w:val="both"/>
        <w:rPr>
          <w:rFonts w:ascii="Times New Roman" w:hAnsi="Times New Roman"/>
          <w:sz w:val="22"/>
          <w:szCs w:val="22"/>
        </w:rPr>
      </w:pPr>
      <w:r>
        <w:rPr>
          <w:rFonts w:ascii="Times New Roman" w:hAnsi="Times New Roman"/>
          <w:sz w:val="22"/>
        </w:rPr>
        <w:t>lot no 1 (Racks and UPS equipment): 30 days;</w:t>
      </w:r>
    </w:p>
    <w:p w14:paraId="14FE33CD" w14:textId="5EBB0A64" w:rsidR="00A13EB8" w:rsidRDefault="00A13EB8" w:rsidP="00B5440B">
      <w:pPr>
        <w:spacing w:before="0"/>
        <w:ind w:left="1134"/>
        <w:jc w:val="both"/>
        <w:rPr>
          <w:rFonts w:ascii="Times New Roman" w:hAnsi="Times New Roman"/>
          <w:sz w:val="22"/>
          <w:szCs w:val="22"/>
        </w:rPr>
      </w:pPr>
      <w:r>
        <w:rPr>
          <w:rFonts w:ascii="Times New Roman" w:hAnsi="Times New Roman"/>
          <w:sz w:val="22"/>
        </w:rPr>
        <w:t>lot no 2 (Virtualisation equipment): 90 days.</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23" w:name="_Toc124934910"/>
      <w:r>
        <w:rPr>
          <w:rFonts w:ascii="Times New Roman" w:hAnsi="Times New Roman"/>
          <w:b/>
          <w:sz w:val="24"/>
          <w:szCs w:val="24"/>
        </w:rPr>
        <w:t>Article 24</w:t>
        <w:tab/>
        <w:t>Quality of supplies</w:t>
      </w:r>
      <w:bookmarkEnd w:id="23"/>
    </w:p>
    <w:p w14:paraId="0506BF5F" w14:textId="77777777" w:rsidR="0047783A" w:rsidRPr="003D6B6C" w:rsidRDefault="005B0129" w:rsidP="005D03AA">
      <w:pPr>
        <w:ind w:left="1134" w:hanging="709"/>
        <w:jc w:val="both"/>
        <w:rPr>
          <w:rFonts w:ascii="Times New Roman" w:hAnsi="Times New Roman"/>
          <w:sz w:val="22"/>
          <w:szCs w:val="22"/>
        </w:rPr>
      </w:pPr>
      <w:r>
        <w:rPr>
          <w:rFonts w:ascii="Times New Roman" w:hAnsi="Times New Roman"/>
          <w:sz w:val="22"/>
          <w:szCs w:val="22"/>
        </w:rPr>
        <w:t xml:space="preserve">24.2</w:t>
        <w:tab/>
        <w:t xml:space="preserve">N/A. No preliminary technical acceptance is required.</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24" w:name="_Toc124934911"/>
      <w:r>
        <w:rPr>
          <w:rFonts w:ascii="Times New Roman" w:hAnsi="Times New Roman"/>
          <w:b/>
          <w:sz w:val="24"/>
          <w:szCs w:val="24"/>
        </w:rPr>
        <w:t>Article 25</w:t>
        <w:tab/>
        <w:t>Inspection and testing</w:t>
      </w:r>
      <w:bookmarkEnd w:id="24"/>
    </w:p>
    <w:p w14:paraId="64178ACF" w14:textId="77777777" w:rsidR="0047783A" w:rsidRPr="003D6B6C" w:rsidRDefault="005B0129" w:rsidP="005D03AA">
      <w:pPr>
        <w:ind w:left="1134" w:hanging="709"/>
        <w:jc w:val="both"/>
        <w:rPr>
          <w:rFonts w:ascii="Times New Roman" w:hAnsi="Times New Roman"/>
          <w:b/>
          <w:sz w:val="22"/>
          <w:szCs w:val="22"/>
        </w:rPr>
      </w:pPr>
      <w:r>
        <w:rPr>
          <w:rFonts w:ascii="Times New Roman" w:hAnsi="Times New Roman"/>
          <w:sz w:val="22"/>
          <w:szCs w:val="22"/>
        </w:rPr>
        <w:t xml:space="preserve">25.2</w:t>
        <w:tab/>
        <w:t xml:space="preserve">The supplies shall be inspected and tested at the place of acceptance, upon delivery and upon completion of the installation and commissioning, in accordance with Article 25 of the general conditions. The tests shall establish that the supplies conform to the technical specifications (Annex II) and to the technical offer (Annex III) and that they are fully operational.</w:t>
      </w:r>
    </w:p>
    <w:p w14:paraId="76351DF5" w14:textId="77777777" w:rsidR="0047783A" w:rsidRPr="003D6B6C" w:rsidRDefault="0047783A" w:rsidP="00B34179">
      <w:pPr>
        <w:spacing w:before="240"/>
        <w:ind w:left="1134" w:hanging="1134"/>
        <w:jc w:val="both"/>
        <w:rPr>
          <w:rFonts w:ascii="Times New Roman" w:hAnsi="Times New Roman"/>
          <w:b/>
          <w:sz w:val="24"/>
          <w:szCs w:val="24"/>
        </w:rPr>
      </w:pPr>
      <w:bookmarkStart w:id="25" w:name="_Toc124934912"/>
      <w:r>
        <w:rPr>
          <w:rFonts w:ascii="Times New Roman" w:hAnsi="Times New Roman"/>
          <w:b/>
          <w:sz w:val="24"/>
          <w:szCs w:val="24"/>
        </w:rPr>
        <w:t>Article 26</w:t>
        <w:tab/>
      </w:r>
      <w:bookmarkEnd w:id="25"/>
      <w:r>
        <w:rPr>
          <w:rFonts w:ascii="Times New Roman" w:hAnsi="Times New Roman"/>
          <w:b/>
          <w:sz w:val="24"/>
          <w:szCs w:val="24"/>
        </w:rPr>
        <w:t>General principles for payments</w:t>
      </w:r>
    </w:p>
    <w:p w14:paraId="6ECB3C62" w14:textId="77777777" w:rsidR="0047783A" w:rsidRPr="003D6B6C" w:rsidRDefault="0047783A" w:rsidP="00B5440B">
      <w:pPr>
        <w:tabs>
          <w:tab w:val="right" w:pos="9885"/>
        </w:tabs>
        <w:spacing w:before="0"/>
        <w:ind w:left="1134" w:hanging="709"/>
        <w:jc w:val="both"/>
        <w:rPr>
          <w:rFonts w:ascii="Times New Roman" w:hAnsi="Times New Roman"/>
          <w:sz w:val="22"/>
          <w:szCs w:val="22"/>
        </w:rPr>
      </w:pPr>
      <w:r>
        <w:rPr>
          <w:rFonts w:ascii="Times New Roman" w:hAnsi="Times New Roman"/>
          <w:sz w:val="22"/>
          <w:szCs w:val="22"/>
        </w:rPr>
        <w:t xml:space="preserve">26.1</w:t>
        <w:tab/>
        <w:t xml:space="preserve">Payments shall be made in euro. For contractors registered in the Republic of Serbia, payments shall be made in Serbian dinar (RSD), converted at the InforEuro exchange rate of the month in which the invoice is issued.</w:t>
      </w:r>
    </w:p>
    <w:p w14:paraId="05D86986" w14:textId="3B69E632" w:rsidR="0047783A" w:rsidRPr="003D6B6C" w:rsidRDefault="0047783A" w:rsidP="00B5440B">
      <w:pPr>
        <w:tabs>
          <w:tab w:val="right" w:pos="9885"/>
        </w:tabs>
        <w:spacing w:before="0"/>
        <w:ind w:left="1134"/>
        <w:jc w:val="both"/>
        <w:rPr>
          <w:rFonts w:ascii="Times New Roman" w:hAnsi="Times New Roman"/>
          <w:sz w:val="22"/>
          <w:szCs w:val="22"/>
        </w:rPr>
      </w:pPr>
      <w:r>
        <w:rPr>
          <w:rFonts w:ascii="Times New Roman" w:hAnsi="Times New Roman"/>
          <w:sz w:val="22"/>
          <w:szCs w:val="22"/>
        </w:rPr>
        <w:t xml:space="preserve">Pre-financing is not applicable to this contract. The total contract price shall be paid as a single balance payment of 100 % of the total contract price, after signature of the certificate of provisional acceptance of the supplies and receipt by the contracting authority of an admissible invoice. The final payment shall be made within the time limit laid down in Article 26.6 of the general conditions.</w:t>
      </w:r>
    </w:p>
    <w:p w14:paraId="05D86986" w14:textId="3B69E632" w:rsidR="0047783A" w:rsidRPr="003D6B6C" w:rsidRDefault="0047783A" w:rsidP="00B5440B">
      <w:pPr>
        <w:tabs>
          <w:tab w:val="right" w:pos="9885"/>
        </w:tabs>
        <w:spacing w:before="0"/>
        <w:ind w:left="1134"/>
        <w:jc w:val="both"/>
        <w:rPr>
          <w:rFonts w:ascii="Times New Roman" w:hAnsi="Times New Roman"/>
          <w:sz w:val="22"/>
          <w:szCs w:val="22"/>
        </w:rPr>
      </w:pPr>
      <w:r>
        <w:rPr>
          <w:rFonts w:ascii="Times New Roman" w:hAnsi="Times New Roman"/>
          <w:sz w:val="22"/>
          <w:szCs w:val="22"/>
        </w:rPr>
        <w:t>Invoices shall be sent in electronic format, from an official corporate email address of the contractor, to: ipabgsr@ninet.rs</w:t>
      </w:r>
    </w:p>
    <w:p w14:paraId="5A54FF23" w14:textId="77777777" w:rsidR="0047783A" w:rsidRPr="003D6B6C" w:rsidRDefault="0047783A" w:rsidP="00B5440B">
      <w:pPr>
        <w:spacing w:before="0"/>
        <w:ind w:left="1134"/>
        <w:jc w:val="both"/>
        <w:rPr>
          <w:rFonts w:ascii="Times New Roman" w:hAnsi="Times New Roman"/>
          <w:sz w:val="22"/>
          <w:szCs w:val="22"/>
        </w:rPr>
      </w:pPr>
      <w:r>
        <w:rPr>
          <w:rFonts w:ascii="Times New Roman" w:hAnsi="Times New Roman"/>
          <w:sz w:val="22"/>
          <w:szCs w:val="22"/>
        </w:rPr>
        <w:t>Payments shall be authorised and made by Ninet Company d.o.o., Bulevar Nemanjića 25, TC Zona 3 lok. K6, 18000 Niš, Republic of Serbia (for the attention of Nebojša Simić, email: ipabgsr@ninet.rs).</w:t>
      </w:r>
    </w:p>
    <w:p w14:paraId="780AD638" w14:textId="37C5BD5F" w:rsidR="001B4DA9" w:rsidRPr="003D6B6C" w:rsidRDefault="00E87734" w:rsidP="005D03AA">
      <w:pPr>
        <w:ind w:left="1134" w:hanging="709"/>
        <w:jc w:val="both"/>
        <w:rPr>
          <w:rFonts w:ascii="Times New Roman" w:hAnsi="Times New Roman"/>
          <w:sz w:val="22"/>
          <w:szCs w:val="22"/>
        </w:rPr>
      </w:pPr>
      <w:r>
        <w:rPr>
          <w:rFonts w:ascii="Times New Roman" w:hAnsi="Times New Roman"/>
          <w:sz w:val="22"/>
          <w:szCs w:val="22"/>
        </w:rPr>
        <w:t>26.5</w:t>
        <w:tab/>
        <w:t xml:space="preserve">In order to obtain payments, the contractor must submit to the authority referred to in paragraph 26.1 above:</w:t>
      </w:r>
    </w:p>
    <w:p w14:paraId="52C9173B" w14:textId="444762A0" w:rsidR="00E87734" w:rsidRPr="003D6B6C" w:rsidRDefault="00035D61" w:rsidP="00B9316C">
      <w:pPr>
        <w:ind w:left="1560" w:hanging="426"/>
        <w:jc w:val="both"/>
        <w:rPr>
          <w:rFonts w:ascii="Times New Roman" w:hAnsi="Times New Roman"/>
          <w:sz w:val="22"/>
          <w:szCs w:val="22"/>
        </w:rPr>
      </w:pPr>
      <w:r>
        <w:rPr>
          <w:rFonts w:ascii="Times New Roman" w:hAnsi="Times New Roman"/>
          <w:sz w:val="22"/>
          <w:szCs w:val="22"/>
        </w:rPr>
        <w:t xml:space="preserve">a)</w:t>
        <w:tab/>
        <w:t xml:space="preserve">N/A. Pre-financing is not applicable to this contract; no pre-financing payment shall be made and no pre-financing guarantee is required.</w:t>
      </w:r>
    </w:p>
    <w:p w14:paraId="1707D0AC" w14:textId="635B319F" w:rsidR="0047783A" w:rsidRPr="003D6B6C" w:rsidRDefault="0047783A" w:rsidP="00035D61">
      <w:pPr>
        <w:spacing w:after="0"/>
        <w:ind w:left="1559" w:hanging="425"/>
        <w:jc w:val="both"/>
        <w:rPr>
          <w:rFonts w:ascii="Times New Roman" w:hAnsi="Times New Roman"/>
          <w:sz w:val="22"/>
          <w:szCs w:val="22"/>
        </w:rPr>
      </w:pPr>
      <w:r>
        <w:rPr>
          <w:rFonts w:ascii="Times New Roman" w:hAnsi="Times New Roman"/>
          <w:sz w:val="22"/>
          <w:szCs w:val="22"/>
        </w:rPr>
        <w:t xml:space="preserve">b)</w:t>
        <w:tab/>
        <w:t xml:space="preserve">For the 100 % balance, the invoice together with the request for provisional acceptance of the supplies or, where it has already been issued, the signed certificate of provisional acceptance.</w:t>
      </w:r>
    </w:p>
    <w:p w14:paraId="21DD1760" w14:textId="77777777" w:rsidR="0047783A" w:rsidRDefault="0047783A" w:rsidP="006B145B">
      <w:pPr>
        <w:tabs>
          <w:tab w:val="right" w:pos="9885"/>
        </w:tabs>
        <w:ind w:left="1134" w:hanging="709"/>
        <w:jc w:val="both"/>
        <w:rPr>
          <w:rFonts w:ascii="Times New Roman" w:hAnsi="Times New Roman"/>
          <w:color w:val="000000"/>
          <w:sz w:val="22"/>
          <w:szCs w:val="22"/>
        </w:rPr>
      </w:pPr>
      <w:r>
        <w:rPr>
          <w:rFonts w:ascii="Times New Roman" w:hAnsi="Times New Roman"/>
          <w:sz w:val="22"/>
          <w:szCs w:val="22"/>
        </w:rPr>
        <w:t xml:space="preserve">26.9</w:t>
        <w:tab/>
        <w:t xml:space="preserve">The contract does not include a price revision clause. The contract is at fixed prices, which shall not be revised.</w:t>
      </w:r>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28" w:name="_Toc124934913"/>
      <w:r>
        <w:rPr>
          <w:rFonts w:ascii="Times New Roman" w:hAnsi="Times New Roman"/>
          <w:b/>
          <w:sz w:val="24"/>
          <w:szCs w:val="24"/>
        </w:rPr>
        <w:t>Article 28</w:t>
        <w:tab/>
        <w:t>Delayed payments</w:t>
      </w:r>
    </w:p>
    <w:p w14:paraId="74820773" w14:textId="77777777" w:rsidR="0047783A" w:rsidRPr="003D6B6C" w:rsidRDefault="0047783A" w:rsidP="006B145B">
      <w:pPr>
        <w:autoSpaceDE w:val="0"/>
        <w:autoSpaceDN w:val="0"/>
        <w:adjustRightInd w:val="0"/>
        <w:ind w:left="1134" w:hanging="709"/>
        <w:jc w:val="both"/>
        <w:rPr>
          <w:rFonts w:ascii="Times New Roman" w:hAnsi="Times New Roman"/>
          <w:snapToGrid/>
          <w:sz w:val="22"/>
          <w:szCs w:val="22"/>
          <w:lang w:eastAsia="en-GB"/>
        </w:rPr>
      </w:pPr>
      <w:r>
        <w:rPr>
          <w:rFonts w:ascii="Times New Roman" w:hAnsi="Times New Roman"/>
          <w:sz w:val="22"/>
          <w:szCs w:val="22"/>
        </w:rPr>
        <w:t xml:space="preserve">28.2</w:t>
        <w:tab/>
        <w:t xml:space="preserve">By way of derogation from Article 28.2 of the general conditions, once the deadline laid down in Article 26.6 of the general conditions has expired, the contractor shall, upon demand, be entitled to late-payment interest at the rate and for the period mentioned in the general conditions. The demand must be submitted within two months of receiving late payment.</w:t>
      </w:r>
    </w:p>
    <w:p w14:paraId="210201A9" w14:textId="4F7A92A8" w:rsidR="0047783A" w:rsidRDefault="0047783A" w:rsidP="00B34179">
      <w:pPr>
        <w:spacing w:before="240"/>
        <w:ind w:left="1134" w:hanging="1134"/>
        <w:jc w:val="both"/>
        <w:rPr>
          <w:rFonts w:ascii="Times New Roman" w:hAnsi="Times New Roman"/>
          <w:b/>
          <w:sz w:val="24"/>
          <w:szCs w:val="24"/>
        </w:rPr>
      </w:pPr>
      <w:r>
        <w:rPr>
          <w:rFonts w:ascii="Times New Roman" w:hAnsi="Times New Roman"/>
          <w:b/>
          <w:sz w:val="24"/>
          <w:szCs w:val="24"/>
        </w:rPr>
        <w:t>Article 29</w:t>
        <w:tab/>
        <w:t>Delivery</w:t>
      </w:r>
      <w:bookmarkEnd w:id="28"/>
    </w:p>
    <w:p w14:paraId="2C5926D3" w14:textId="1207AD87" w:rsidR="00BD1517" w:rsidRPr="003D6B6C" w:rsidRDefault="00BD1517" w:rsidP="00B34179">
      <w:pPr>
        <w:spacing w:before="240"/>
        <w:ind w:left="1134" w:hanging="1134"/>
        <w:jc w:val="both"/>
        <w:rPr>
          <w:rFonts w:ascii="Times New Roman" w:hAnsi="Times New Roman"/>
          <w:b/>
          <w:sz w:val="24"/>
          <w:szCs w:val="24"/>
        </w:rPr>
      </w:pPr>
      <w:r>
        <w:rPr>
          <w:rFonts w:ascii="Times New Roman" w:hAnsi="Times New Roman"/>
          <w:sz w:val="22"/>
          <w:szCs w:val="22"/>
        </w:rPr>
        <w:t xml:space="preserve">29.1</w:t>
        <w:tab/>
        <w:t xml:space="preserve">The Incoterm applicable shall be DDP (Delivered Duty Paid).</w:t>
      </w:r>
    </w:p>
    <w:p w14:paraId="65067DDE" w14:textId="77777777" w:rsidR="0047783A" w:rsidRPr="003D6B6C" w:rsidRDefault="0047783A" w:rsidP="006B145B">
      <w:pPr>
        <w:ind w:left="1134" w:hanging="709"/>
        <w:jc w:val="both"/>
        <w:rPr>
          <w:rFonts w:ascii="Times New Roman" w:hAnsi="Times New Roman"/>
          <w:b/>
          <w:sz w:val="22"/>
          <w:szCs w:val="22"/>
        </w:rPr>
      </w:pPr>
      <w:r>
        <w:rPr>
          <w:rFonts w:ascii="Times New Roman" w:hAnsi="Times New Roman"/>
          <w:sz w:val="22"/>
          <w:szCs w:val="22"/>
        </w:rPr>
        <w:t xml:space="preserve">29.3</w:t>
        <w:tab/>
        <w:t xml:space="preserve">The supplies shall be packaged in accordance with the manufacturer’s standard packaging, adequate to protect them from damage and deterioration during transport, handling and storage until their delivery at the place of acceptance.</w:t>
      </w:r>
    </w:p>
    <w:p w14:paraId="4517A6CF" w14:textId="77777777" w:rsidR="0047783A" w:rsidRPr="003D6B6C" w:rsidRDefault="0047783A" w:rsidP="006B145B">
      <w:pPr>
        <w:ind w:left="1134"/>
        <w:jc w:val="both"/>
        <w:rPr>
          <w:rFonts w:ascii="Times New Roman" w:hAnsi="Times New Roman"/>
          <w:sz w:val="22"/>
          <w:szCs w:val="22"/>
        </w:rPr>
      </w:pPr>
      <w:r>
        <w:rPr>
          <w:rFonts w:ascii="Times New Roman" w:hAnsi="Times New Roman"/>
          <w:sz w:val="22"/>
          <w:szCs w:val="22"/>
        </w:rPr>
        <w:t xml:space="preserve">The packaging shall become the property of the recipient subject to environmental considerations.</w:t>
      </w:r>
    </w:p>
    <w:p w14:paraId="64F05594" w14:textId="4FF66014" w:rsidR="00BD1517" w:rsidRPr="003D6B6C" w:rsidRDefault="00BD1517" w:rsidP="00B5440B">
      <w:pPr>
        <w:ind w:left="1134" w:hanging="708"/>
        <w:jc w:val="both"/>
        <w:rPr>
          <w:rFonts w:ascii="Times New Roman" w:hAnsi="Times New Roman"/>
          <w:b/>
          <w:sz w:val="22"/>
          <w:szCs w:val="22"/>
        </w:rPr>
      </w:pPr>
      <w:r>
        <w:rPr>
          <w:rFonts w:ascii="Times New Roman" w:hAnsi="Times New Roman"/>
          <w:sz w:val="22"/>
          <w:szCs w:val="22"/>
        </w:rPr>
        <w:t xml:space="preserve">29.4</w:t>
        <w:tab/>
        <w:t xml:space="preserve">The place of acceptance of the supplies shall be the NINET data centre in Niš, Republic of Serbia.</w:t>
      </w:r>
    </w:p>
    <w:p w14:paraId="0A911D52" w14:textId="77777777" w:rsidR="0047783A" w:rsidRPr="003D6B6C" w:rsidRDefault="0047783A" w:rsidP="006B145B">
      <w:pPr>
        <w:ind w:left="1134" w:hanging="1134"/>
        <w:jc w:val="both"/>
        <w:rPr>
          <w:rFonts w:ascii="Times New Roman" w:hAnsi="Times New Roman"/>
          <w:sz w:val="22"/>
          <w:szCs w:val="22"/>
        </w:rPr>
      </w:pPr>
      <w:r>
        <w:rPr>
          <w:rFonts w:ascii="Times New Roman" w:hAnsi="Times New Roman"/>
          <w:sz w:val="22"/>
          <w:szCs w:val="22"/>
        </w:rPr>
        <w:t xml:space="preserve">29.5/6/7</w:t>
        <w:tab/>
        <w:t xml:space="preserve">Each delivery shall be accompanied by a delivery note and a packing list identifying the contract, the lot, the items delivered, their quantities and their serial numbers, together with the manufacturer’s documentation, the licence certificates and the warranty certificates. The packages shall be marked, in indelible characters, with the name of the contracting authority, the place of delivery, the publication reference of the contract and the number of the lot concerned.</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29" w:name="_Toc124934914"/>
      <w:r>
        <w:rPr>
          <w:rFonts w:ascii="Times New Roman" w:hAnsi="Times New Roman"/>
          <w:b/>
          <w:sz w:val="24"/>
          <w:szCs w:val="24"/>
        </w:rPr>
        <w:t>Article 31</w:t>
        <w:tab/>
        <w:t>Provisional acceptance</w:t>
      </w:r>
      <w:bookmarkEnd w:id="29"/>
    </w:p>
    <w:p w14:paraId="38CCDEFD" w14:textId="77777777" w:rsidR="0047783A" w:rsidRPr="003D6B6C" w:rsidRDefault="0047783A" w:rsidP="001B55AC">
      <w:pPr>
        <w:jc w:val="both"/>
        <w:rPr>
          <w:rFonts w:ascii="Times New Roman" w:hAnsi="Times New Roman"/>
          <w:sz w:val="22"/>
          <w:szCs w:val="22"/>
        </w:rPr>
      </w:pPr>
      <w:r>
        <w:rPr>
          <w:rFonts w:ascii="Times New Roman" w:hAnsi="Times New Roman"/>
          <w:sz w:val="22"/>
          <w:szCs w:val="22"/>
        </w:rPr>
        <w:t xml:space="preserve">The certificate of provisional acceptance must be issued using the template in Annex C11. Provisional acceptance shall be granted separately for each lot, after delivery, installation and commissioning of all the supplies of that lot at the place of acceptance and after successful completion of the inspections and tests referred to in Article 25 above, in accordance with Article 31 of the general conditions.</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30" w:name="_Toc124934915"/>
      <w:r>
        <w:rPr>
          <w:rFonts w:ascii="Times New Roman" w:hAnsi="Times New Roman"/>
          <w:b/>
          <w:sz w:val="24"/>
          <w:szCs w:val="24"/>
        </w:rPr>
        <w:t>Article 32</w:t>
        <w:tab/>
        <w:t>Warranty</w:t>
      </w:r>
      <w:bookmarkEnd w:id="30"/>
      <w:r>
        <w:rPr>
          <w:rFonts w:ascii="Times New Roman" w:hAnsi="Times New Roman"/>
          <w:b/>
          <w:sz w:val="24"/>
          <w:szCs w:val="24"/>
        </w:rPr>
        <w:t xml:space="preserve"> obligations</w:t>
      </w:r>
    </w:p>
    <w:p w14:paraId="18C4D014" w14:textId="77777777" w:rsidR="0047783A" w:rsidRPr="003D6B6C" w:rsidRDefault="00177A94" w:rsidP="006B145B">
      <w:pPr>
        <w:ind w:left="1134" w:hanging="708"/>
        <w:jc w:val="both"/>
        <w:rPr>
          <w:rFonts w:ascii="Times New Roman" w:hAnsi="Times New Roman"/>
          <w:sz w:val="22"/>
          <w:szCs w:val="22"/>
        </w:rPr>
      </w:pPr>
      <w:r>
        <w:t>32.6</w:t>
        <w:tab/>
        <w:t>All supplies under this contract (both lots) must be new and unused, in accordance with Article 32.1 of the general conditions.</w:t>
      </w:r>
    </w:p>
    <w:p w14:paraId="516F443D" w14:textId="77777777" w:rsidR="00DF7EE0" w:rsidRPr="003D6B6C" w:rsidRDefault="00DF7EE0" w:rsidP="006B145B">
      <w:pPr>
        <w:ind w:left="1134" w:hanging="708"/>
        <w:jc w:val="both"/>
        <w:rPr>
          <w:rFonts w:ascii="Times New Roman" w:hAnsi="Times New Roman"/>
          <w:sz w:val="22"/>
          <w:szCs w:val="22"/>
        </w:rPr>
      </w:pPr>
      <w:r>
        <w:t>32.7</w:t>
        <w:tab/>
        <w:t>By way of derogation from Article 32.7 of the general conditions, the warranty must remain valid for a minimum of twenty-four (24) months (2 years) after provisional acceptance of the supplies.</w:t>
      </w:r>
    </w:p>
    <w:p w14:paraId="3499C21C" w14:textId="77777777" w:rsidR="0047783A" w:rsidRPr="003D6B6C" w:rsidRDefault="0047783A" w:rsidP="00B34179">
      <w:pPr>
        <w:spacing w:before="240"/>
        <w:ind w:left="1134" w:hanging="1134"/>
        <w:jc w:val="both"/>
        <w:rPr>
          <w:rFonts w:ascii="Times New Roman" w:hAnsi="Times New Roman"/>
          <w:b/>
          <w:sz w:val="24"/>
          <w:szCs w:val="24"/>
        </w:rPr>
      </w:pPr>
      <w:bookmarkStart w:id="31" w:name="_Toc119839451"/>
      <w:bookmarkStart w:id="32" w:name="_Toc124934916"/>
      <w:r>
        <w:rPr>
          <w:rFonts w:ascii="Times New Roman" w:hAnsi="Times New Roman"/>
          <w:b/>
          <w:sz w:val="24"/>
          <w:szCs w:val="24"/>
        </w:rPr>
        <w:t>Article 33</w:t>
        <w:tab/>
        <w:t>After-sales service</w:t>
      </w:r>
      <w:bookmarkEnd w:id="31"/>
      <w:bookmarkEnd w:id="32"/>
    </w:p>
    <w:p w14:paraId="09B87FDF" w14:textId="77777777" w:rsidR="0047783A" w:rsidRPr="003D6B6C" w:rsidRDefault="00177A94" w:rsidP="006B145B">
      <w:pPr>
        <w:ind w:left="1134" w:hanging="708"/>
        <w:jc w:val="both"/>
        <w:rPr>
          <w:rFonts w:ascii="Times New Roman" w:hAnsi="Times New Roman"/>
          <w:sz w:val="22"/>
          <w:szCs w:val="22"/>
        </w:rPr>
      </w:pPr>
      <w:r>
        <w:rPr>
          <w:rFonts w:ascii="Times New Roman" w:hAnsi="Times New Roman"/>
          <w:sz w:val="22"/>
          <w:szCs w:val="22"/>
        </w:rPr>
        <w:t xml:space="preserve">33.1</w:t>
        <w:tab/>
        <w:t xml:space="preserve">The contractor shall provide, for all the equipment supplied, manufacturer or authorised-partner hardware support for a minimum of three (3) years from provisional acceptance, covering the replacement of parts and firmware and software updates. No proportion of the performance guarantee is assigned to that activity, since no performance guarantee is required under Article 11 above.</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33" w:name="_Toc124934917"/>
      <w:r>
        <w:rPr>
          <w:rFonts w:ascii="Times New Roman" w:hAnsi="Times New Roman"/>
          <w:b/>
          <w:sz w:val="24"/>
          <w:szCs w:val="24"/>
        </w:rPr>
        <w:t>Article 40</w:t>
        <w:tab/>
        <w:t>Settlement of disputes</w:t>
      </w:r>
      <w:bookmarkEnd w:id="33"/>
    </w:p>
    <w:p w14:paraId="4CFC6620" w14:textId="77777777" w:rsidR="00C01E30" w:rsidRPr="00B5440B" w:rsidRDefault="00C01E30" w:rsidP="00B5440B">
      <w:pPr>
        <w:autoSpaceDE w:val="0"/>
        <w:autoSpaceDN w:val="0"/>
        <w:adjustRightInd w:val="0"/>
        <w:spacing w:before="0"/>
        <w:ind w:left="1276"/>
        <w:jc w:val="both"/>
        <w:rPr>
          <w:rFonts w:ascii="Times New Roman" w:hAnsi="Times New Roman"/>
          <w:sz w:val="22"/>
          <w:szCs w:val="22"/>
          <w:lang w:bidi="kn-IN"/>
        </w:rPr>
      </w:pPr>
      <w:r>
        <w:rPr>
          <w:rFonts w:ascii="Times New Roman" w:hAnsi="Times New Roman"/>
          <w:sz w:val="22"/>
          <w:szCs w:val="22"/>
          <w:lang w:bidi="kn-IN"/>
        </w:rPr>
        <w:t xml:space="preserve">40.4</w:t>
        <w:tab/>
        <w:t xml:space="preserve">Any dispute arising out of or relating to this contract which cannot be settled otherwise shall be referred to the exclusive jurisdiction of the courts of the Republic of Serbia in accordance with its national legislation.</w:t>
      </w:r>
    </w:p>
    <w:p w14:paraId="3069DE4A" w14:textId="77777777" w:rsidR="00C01E30" w:rsidRPr="00B5440B" w:rsidRDefault="00C01E30" w:rsidP="00B5440B">
      <w:pPr>
        <w:autoSpaceDE w:val="0"/>
        <w:autoSpaceDN w:val="0"/>
        <w:adjustRightInd w:val="0"/>
        <w:spacing w:before="0"/>
        <w:ind w:left="1440"/>
        <w:jc w:val="both"/>
        <w:rPr>
          <w:rFonts w:ascii="Times New Roman" w:hAnsi="Times New Roman"/>
          <w:sz w:val="22"/>
          <w:szCs w:val="22"/>
          <w:lang w:bidi="kn-IN"/>
        </w:rPr>
      </w:pPr>
      <w:r>
        <w:rPr>
          <w:rFonts w:ascii="Times New Roman" w:hAnsi="Times New Roman"/>
          <w:sz w:val="22"/>
          <w:szCs w:val="22"/>
          <w:lang w:bidi="kn-IN"/>
        </w:rPr>
        <w:t xml:space="preserve">The jurisdiction conferred under this clause is exclusive and any jurisdiction under a bilateral or multilateral investment treaty, or under the ICSID (International Centre for Settlement of Investment Disputes) rules is explicitly excluded.</w:t>
      </w:r>
    </w:p>
    <w:p w14:paraId="53F35545" w14:textId="1C0D7E49" w:rsidR="00407C90" w:rsidRDefault="00407C90" w:rsidP="00B5440B">
      <w:pPr>
        <w:keepNext/>
        <w:keepLines/>
        <w:tabs>
          <w:tab w:val="left" w:pos="1134"/>
        </w:tabs>
        <w:spacing w:before="240" w:after="0"/>
        <w:ind w:left="1134" w:hanging="1134"/>
        <w:rPr>
          <w:rFonts w:ascii="Times New Roman" w:hAnsi="Times New Roman"/>
          <w:b/>
          <w:sz w:val="24"/>
          <w:szCs w:val="24"/>
        </w:rPr>
      </w:pPr>
      <w:r>
        <w:rPr>
          <w:rFonts w:ascii="Times New Roman" w:hAnsi="Times New Roman"/>
          <w:b/>
          <w:sz w:val="24"/>
          <w:szCs w:val="24"/>
        </w:rPr>
        <w:t>Article 44</w:t>
        <w:tab/>
        <w:t xml:space="preserve">Data protection</w:t>
      </w:r>
    </w:p>
    <w:p w14:paraId="21A6D968" w14:textId="77777777" w:rsidR="00C05EBE" w:rsidRPr="00B5440B" w:rsidRDefault="00C05EBE" w:rsidP="00C05EBE">
      <w:pPr>
        <w:jc w:val="both"/>
        <w:rPr>
          <w:rFonts w:ascii="Times New Roman" w:hAnsi="Times New Roman"/>
          <w:sz w:val="22"/>
          <w:szCs w:val="22"/>
        </w:rPr>
      </w:pPr>
      <w:r>
        <w:rPr>
          <w:rFonts w:ascii="Times New Roman" w:hAnsi="Times New Roman"/>
          <w:sz w:val="22"/>
          <w:szCs w:val="22"/>
        </w:rPr>
        <w:t xml:space="preserve">For the purpose of Article 44 of the general conditions, for the part of the data transferred by the contracting authority to the European Commission:</w:t>
      </w:r>
    </w:p>
    <w:p w14:paraId="18EF332A" w14:textId="53D1BD65" w:rsidR="00C05EBE" w:rsidRPr="00B5440B" w:rsidRDefault="00C05EBE" w:rsidP="00B5440B">
      <w:pPr>
        <w:ind w:left="426"/>
        <w:jc w:val="both"/>
        <w:rPr>
          <w:rFonts w:ascii="Times New Roman" w:hAnsi="Times New Roman"/>
          <w:sz w:val="22"/>
          <w:szCs w:val="22"/>
        </w:rPr>
      </w:pPr>
      <w:r>
        <w:rPr>
          <w:rFonts w:ascii="Times New Roman" w:hAnsi="Times New Roman"/>
          <w:sz w:val="22"/>
          <w:szCs w:val="22"/>
        </w:rPr>
        <w:t xml:space="preserve">a)</w:t>
        <w:tab/>
        <w:t xml:space="preserve">the controller for the processing of personal data carried out within the Commission is the head of the contracts and finance unit R4 of the Directorate-General for Neighbourhood and Enlargement Negotiations (DG NEAR);</w:t>
      </w:r>
    </w:p>
    <w:p w14:paraId="4CB26B0B" w14:textId="16155D9D" w:rsidR="00C05EBE" w:rsidRPr="0051770F" w:rsidRDefault="00C05EBE" w:rsidP="00B5440B">
      <w:pPr>
        <w:spacing w:before="100" w:beforeAutospacing="1" w:after="100" w:afterAutospacing="1"/>
        <w:ind w:left="709" w:hanging="425"/>
        <w:rPr>
          <w:rFonts w:ascii="Times New Roman" w:hAnsi="Times New Roman"/>
          <w:color w:val="0563C1"/>
          <w:sz w:val="22"/>
          <w:szCs w:val="22"/>
          <w:u w:val="single"/>
          <w:lang w:val="sv-SE"/>
        </w:rPr>
      </w:pPr>
      <w:r>
        <w:rPr>
          <w:rFonts w:ascii="Times New Roman" w:hAnsi="Times New Roman"/>
          <w:sz w:val="22"/>
          <w:szCs w:val="22"/>
        </w:rPr>
        <w:t xml:space="preserve">b)</w:t>
        <w:tab/>
        <w:t xml:space="preserve">the privacy statement is available at https://wikis.ec.europa.eu/display/ExactExternalWiki/Annexes#Annexes-AnnexesA(Ch.2):General</w:t>
      </w:r>
    </w:p>
    <w:p w14:paraId="5F3FDACE" w14:textId="1CC39EBA" w:rsidR="009F7E6A" w:rsidRPr="00F4288C" w:rsidRDefault="009F7E6A" w:rsidP="00B5440B">
      <w:pPr>
        <w:ind w:left="567" w:hanging="567"/>
        <w:jc w:val="both"/>
        <w:rPr>
          <w:rFonts w:ascii="Times New Roman" w:hAnsi="Times New Roman"/>
          <w:sz w:val="22"/>
          <w:szCs w:val="22"/>
        </w:rPr>
      </w:pPr>
      <w:r>
        <w:rPr>
          <w:rFonts w:ascii="Times New Roman" w:hAnsi="Times New Roman"/>
          <w:sz w:val="22"/>
          <w:szCs w:val="22"/>
        </w:rPr>
        <w:t xml:space="preserve">1.</w:t>
        <w:tab/>
        <w:t xml:space="preserve">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17ACFF7E" w:rsidR="009F7E6A" w:rsidRPr="00F4288C" w:rsidRDefault="009F7E6A" w:rsidP="00B5440B">
      <w:pPr>
        <w:ind w:left="567" w:hanging="567"/>
        <w:jc w:val="both"/>
        <w:rPr>
          <w:rFonts w:ascii="Times New Roman" w:hAnsi="Times New Roman"/>
          <w:sz w:val="22"/>
          <w:szCs w:val="22"/>
          <w:u w:val="single"/>
        </w:rPr>
      </w:pPr>
      <w:r>
        <w:rPr>
          <w:rFonts w:ascii="Times New Roman" w:hAnsi="Times New Roman"/>
          <w:sz w:val="22"/>
          <w:szCs w:val="22"/>
        </w:rPr>
        <w:t xml:space="preserve">2.</w:t>
        <w:tab/>
        <w:t xml:space="preserve">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personnel, experts, trainees, subcontractors, insurers, guarantors, auditors and legal counsel). In cases where the contractor is processing personal data in the context of the implementation of the contract, it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 and as detailed in the specific privacy statement published at ePRAG.</w:t>
      </w:r>
    </w:p>
    <w:p w14:paraId="016C5FE5" w14:textId="77777777" w:rsidR="001B55AC" w:rsidRPr="003D6B6C" w:rsidRDefault="001B55AC" w:rsidP="001B55AC">
      <w:pPr>
        <w:pStyle w:val="ListNumber"/>
        <w:numPr>
          <w:ilvl w:val="0"/>
          <w:numId w:val="0"/>
        </w:numPr>
        <w:spacing w:before="360" w:after="100" w:afterAutospacing="1"/>
        <w:ind w:left="1984" w:hanging="425"/>
        <w:jc w:val="center"/>
        <w:rPr>
          <w:sz w:val="22"/>
          <w:szCs w:val="22"/>
        </w:rPr>
      </w:pPr>
      <w:r>
        <w:rPr>
          <w:sz w:val="22"/>
          <w:szCs w:val="22"/>
        </w:rPr>
        <w:t>* * *</w:t>
      </w:r>
    </w:p>
    <w:sectPr w:rsidR="001B55AC" w:rsidRPr="003D6B6C" w:rsidSect="00B5440B">
      <w:headerReference w:type="even" r:id="rId15"/>
      <w:headerReference w:type="default" r:id="rId16"/>
      <w:footerReference w:type="even" r:id="rId17"/>
      <w:footerReference w:type="default" r:id="rId18"/>
      <w:headerReference w:type="first" r:id="rId19"/>
      <w:footerReference w:type="first" r:id="rId20"/>
      <w:footnotePr>
        <w:numRestart w:val="eachPage"/>
      </w:footnotePr>
      <w:pgSz w:w="11906" w:h="16838"/>
      <w:pgMar w:top="1440" w:right="1440" w:bottom="1440" w:left="851" w:header="720" w:footer="568"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62C48" w14:textId="77777777" w:rsidR="00F215D8" w:rsidRPr="006A5F84" w:rsidRDefault="00F215D8">
      <w:r w:rsidRPr="006A5F84">
        <w:separator/>
      </w:r>
    </w:p>
  </w:endnote>
  <w:endnote w:type="continuationSeparator" w:id="0">
    <w:p w14:paraId="568A3100" w14:textId="77777777" w:rsidR="00F215D8" w:rsidRPr="006A5F84" w:rsidRDefault="00F215D8">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inherit">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F24C"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E34293" w14:textId="77777777" w:rsidR="00117ADA" w:rsidRDefault="00117ADA"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D2995" w14:textId="66634087"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w:t>
    </w:r>
    <w:r w:rsidR="00C84FFB">
      <w:rPr>
        <w:rFonts w:ascii="Times New Roman" w:hAnsi="Times New Roman"/>
        <w:b/>
        <w:sz w:val="18"/>
        <w:lang w:val="en-GB"/>
      </w:rPr>
      <w:t>5</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3E5CA0">
      <w:rPr>
        <w:rStyle w:val="PageNumber"/>
        <w:rFonts w:ascii="Times New Roman" w:hAnsi="Times New Roman"/>
        <w:noProof/>
        <w:sz w:val="18"/>
        <w:szCs w:val="18"/>
        <w:lang w:val="en-GB"/>
      </w:rPr>
      <w:t>10</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3E5CA0">
      <w:rPr>
        <w:rStyle w:val="PageNumber"/>
        <w:rFonts w:ascii="Times New Roman" w:hAnsi="Times New Roman"/>
        <w:noProof/>
        <w:sz w:val="18"/>
        <w:szCs w:val="18"/>
        <w:lang w:val="en-GB"/>
      </w:rPr>
      <w:t>14</w:t>
    </w:r>
    <w:r w:rsidR="007E36E3" w:rsidRPr="009423FB">
      <w:rPr>
        <w:rStyle w:val="PageNumber"/>
        <w:rFonts w:ascii="Times New Roman" w:hAnsi="Times New Roman"/>
        <w:sz w:val="18"/>
        <w:szCs w:val="18"/>
      </w:rPr>
      <w:fldChar w:fldCharType="end"/>
    </w:r>
  </w:p>
  <w:p w14:paraId="32214240" w14:textId="269F0A18" w:rsidR="00117ADA" w:rsidRPr="007E36E3" w:rsidRDefault="008E007A" w:rsidP="008E007A">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B5440B">
      <w:rPr>
        <w:rFonts w:ascii="Times New Roman" w:hAnsi="Times New Roman"/>
        <w:noProof/>
        <w:sz w:val="18"/>
        <w:szCs w:val="18"/>
      </w:rPr>
      <w:t>c4d_specialconditions_en.docx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F36AF"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6181BD8D"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7EB9A" w14:textId="77777777" w:rsidR="00F215D8" w:rsidRPr="006A5F84" w:rsidRDefault="00F215D8">
      <w:r w:rsidRPr="006A5F84">
        <w:separator/>
      </w:r>
    </w:p>
  </w:footnote>
  <w:footnote w:type="continuationSeparator" w:id="0">
    <w:p w14:paraId="20BC7E0B" w14:textId="77777777" w:rsidR="00F215D8" w:rsidRPr="006A5F84" w:rsidRDefault="00F215D8">
      <w:r w:rsidRPr="006A5F84">
        <w:continuationSeparator/>
      </w:r>
    </w:p>
  </w:footnote>
  <w:footnote w:id="1">
    <w:p w14:paraId="2EA0C49C" w14:textId="378464F0" w:rsidR="002B3B4D" w:rsidRPr="00B5440B" w:rsidRDefault="002B3B4D" w:rsidP="009D0375">
      <w:pPr>
        <w:pStyle w:val="FootnoteText"/>
        <w:rPr>
          <w:lang w:val="en-IE"/>
        </w:rPr>
      </w:pPr>
      <w:r>
        <w:rPr>
          <w:rStyle w:val="FootnoteReference"/>
        </w:rPr>
        <w:footnoteRef/>
      </w:r>
      <w:r w:rsidR="009D0375" w:rsidRPr="00B5440B">
        <w:rPr>
          <w:lang w:val="en-IE"/>
        </w:rPr>
        <w:tab/>
      </w:r>
      <w:r w:rsidRPr="00B5440B">
        <w:rPr>
          <w:lang w:val="en-IE"/>
        </w:rPr>
        <w:t xml:space="preserve">Regulation (EU) 2024/792 of the European Parliament and of the Council of 29 February 2024 establishing the Ukraine Facility (OJ L, 2024/792, 29.02.2024, ELI: </w:t>
      </w:r>
      <w:hyperlink r:id="rId1" w:history="1">
        <w:r w:rsidR="009D0375" w:rsidRPr="00B5440B">
          <w:rPr>
            <w:rStyle w:val="Hyperlink"/>
            <w:lang w:val="en-IE"/>
          </w:rPr>
          <w:t>http://data.europa.eu/eli/reg/2024/792/oj</w:t>
        </w:r>
      </w:hyperlink>
      <w:r w:rsidR="009D0375" w:rsidRPr="00B5440B">
        <w:rPr>
          <w:lang w:val="en-IE"/>
        </w:rPr>
        <w:t xml:space="preserve"> </w:t>
      </w:r>
      <w:r w:rsidRPr="00B5440B">
        <w:rPr>
          <w:lang w:val="en-IE"/>
        </w:rPr>
        <w:t>).</w:t>
      </w:r>
    </w:p>
  </w:footnote>
  <w:footnote w:id="2">
    <w:p w14:paraId="473FAD69" w14:textId="65B982EE" w:rsidR="00297C14" w:rsidRPr="00C73F87" w:rsidRDefault="00297C14" w:rsidP="009D0375">
      <w:pPr>
        <w:pStyle w:val="FootnoteText"/>
        <w:rPr>
          <w:lang w:val="en-GB"/>
        </w:rPr>
      </w:pPr>
      <w:r w:rsidRPr="003D6B6C">
        <w:rPr>
          <w:rStyle w:val="FootnoteReference"/>
        </w:rPr>
        <w:footnoteRef/>
      </w:r>
      <w:r w:rsidR="001020D9" w:rsidRPr="00C73F87">
        <w:rPr>
          <w:lang w:val="en-GB"/>
        </w:rPr>
        <w:t xml:space="preserve"> </w:t>
      </w:r>
      <w:r w:rsidRPr="00C73F87">
        <w:rPr>
          <w:lang w:val="en-GB"/>
        </w:rPr>
        <w:t xml:space="preserve">See </w:t>
      </w:r>
      <w:hyperlink r:id="rId2" w:history="1">
        <w:r w:rsidR="00B52AFC">
          <w:rPr>
            <w:rStyle w:val="Hyperlink"/>
            <w:lang w:val="en-GB"/>
          </w:rPr>
          <w:t>http://www.iccwbo.org/incoterms/</w:t>
        </w:r>
      </w:hyperlink>
    </w:p>
  </w:footnote>
  <w:footnote w:id="3">
    <w:p w14:paraId="70EC6637" w14:textId="77777777" w:rsidR="00297C14" w:rsidRPr="00B5440B" w:rsidRDefault="00297C14" w:rsidP="009D0375">
      <w:pPr>
        <w:pStyle w:val="FootnoteText"/>
        <w:rPr>
          <w:lang w:val="en-IE"/>
        </w:rPr>
      </w:pPr>
      <w:r w:rsidRPr="0011156A">
        <w:rPr>
          <w:rStyle w:val="FootnoteReference"/>
        </w:rPr>
        <w:footnoteRef/>
      </w:r>
      <w:r w:rsidRPr="00B5440B">
        <w:rPr>
          <w:lang w:val="en-IE"/>
        </w:rPr>
        <w:t xml:space="preserve"> Idem.</w:t>
      </w:r>
    </w:p>
  </w:footnote>
  <w:footnote w:id="4">
    <w:p w14:paraId="56D56E54" w14:textId="0C13E274" w:rsidR="001C6A79" w:rsidRPr="00B5440B" w:rsidRDefault="001C6A79" w:rsidP="009D0375">
      <w:pPr>
        <w:pStyle w:val="FootnoteText"/>
        <w:rPr>
          <w:lang w:val="en-IE"/>
        </w:rPr>
      </w:pPr>
      <w:r>
        <w:rPr>
          <w:rStyle w:val="FootnoteReference"/>
        </w:rPr>
        <w:footnoteRef/>
      </w:r>
      <w:r w:rsidR="009D0375" w:rsidRPr="00B5440B">
        <w:rPr>
          <w:lang w:val="en-IE"/>
        </w:rPr>
        <w:tab/>
      </w:r>
      <w:bookmarkStart w:id="26" w:name="_Hlk167465553"/>
      <w:r w:rsidR="00651B07" w:rsidRPr="00B5440B">
        <w:rPr>
          <w:highlight w:val="yellow"/>
          <w:lang w:val="en-IE"/>
        </w:rPr>
        <w:t>The first-prefinancing payment shall not be subject to the receipt of an invoice and no invoice is required. In case the use of the electronic exchange system under Article 4.4 of the special conditions is not activated, the contractor must send an invoice for the pre-financing payment.</w:t>
      </w:r>
      <w:r w:rsidR="00651B07" w:rsidRPr="00B5440B">
        <w:rPr>
          <w:lang w:val="en-IE"/>
        </w:rPr>
        <w:t xml:space="preserve"> </w:t>
      </w:r>
      <w:bookmarkEnd w:id="26"/>
      <w:r w:rsidRPr="00B5440B">
        <w:rPr>
          <w:highlight w:val="yellow"/>
          <w:lang w:val="en-IE"/>
        </w:rPr>
        <w:t>Otherwise</w:t>
      </w:r>
      <w:r w:rsidR="00A31EF5" w:rsidRPr="00B5440B">
        <w:rPr>
          <w:highlight w:val="yellow"/>
          <w:lang w:val="en-IE"/>
        </w:rPr>
        <w:t>,</w:t>
      </w:r>
      <w:r w:rsidRPr="00B5440B">
        <w:rPr>
          <w:highlight w:val="yellow"/>
          <w:lang w:val="en-IE"/>
        </w:rPr>
        <w:t xml:space="preserve"> the first-prefinancing payment shall not be subject to the receipt of an invoice</w:t>
      </w:r>
      <w:r w:rsidR="00A31EF5" w:rsidRPr="00B5440B">
        <w:rPr>
          <w:highlight w:val="yellow"/>
          <w:lang w:val="en-IE"/>
        </w:rPr>
        <w:t xml:space="preserve"> and no invoice is required</w:t>
      </w:r>
      <w:r w:rsidRPr="00B5440B">
        <w:rPr>
          <w:highlight w:val="yellow"/>
          <w:lang w:val="en-IE"/>
        </w:rPr>
        <w:t>.</w:t>
      </w:r>
    </w:p>
  </w:footnote>
  <w:footnote w:id="5">
    <w:p w14:paraId="381A3A5A" w14:textId="518FE224" w:rsidR="00F0405C" w:rsidRPr="00B5440B" w:rsidRDefault="00F0405C" w:rsidP="009D0375">
      <w:pPr>
        <w:pStyle w:val="FootnoteText"/>
        <w:rPr>
          <w:highlight w:val="yellow"/>
          <w:lang w:val="en-IE"/>
        </w:rPr>
      </w:pPr>
      <w:r>
        <w:rPr>
          <w:rStyle w:val="FootnoteReference"/>
        </w:rPr>
        <w:footnoteRef/>
      </w:r>
      <w:r w:rsidR="009D0375" w:rsidRPr="00B5440B">
        <w:rPr>
          <w:lang w:val="en-IE"/>
        </w:rPr>
        <w:tab/>
      </w:r>
      <w:r w:rsidR="00232677" w:rsidRPr="004D7349">
        <w:rPr>
          <w:highlight w:val="yellow"/>
          <w:lang w:val="en-IE"/>
        </w:rPr>
        <w:t>See internal provision in the Companion Chapter 9.</w:t>
      </w:r>
    </w:p>
  </w:footnote>
  <w:footnote w:id="6">
    <w:p w14:paraId="7150A3CF" w14:textId="0A2BA7CB" w:rsidR="006A601D" w:rsidRPr="00B5440B" w:rsidRDefault="006A601D" w:rsidP="009D0375">
      <w:pPr>
        <w:pStyle w:val="FootnoteText"/>
        <w:rPr>
          <w:lang w:val="en-IE"/>
        </w:rPr>
      </w:pPr>
      <w:r>
        <w:rPr>
          <w:rStyle w:val="FootnoteReference"/>
        </w:rPr>
        <w:footnoteRef/>
      </w:r>
      <w:r w:rsidR="009D0375" w:rsidRPr="00B5440B">
        <w:rPr>
          <w:lang w:val="en-IE"/>
        </w:rPr>
        <w:tab/>
      </w:r>
      <w:r w:rsidRPr="00B5440B">
        <w:rPr>
          <w:highlight w:val="yellow"/>
          <w:lang w:val="en-IE"/>
        </w:rPr>
        <w:t xml:space="preserve">The declaration on honour or the </w:t>
      </w:r>
      <w:hyperlink r:id="rId3" w:history="1">
        <w:r w:rsidRPr="00B5440B">
          <w:rPr>
            <w:rStyle w:val="Hyperlink"/>
            <w:highlight w:val="yellow"/>
            <w:lang w:val="en-GB"/>
          </w:rPr>
          <w:t>list of debtors</w:t>
        </w:r>
      </w:hyperlink>
      <w:r w:rsidRPr="00B5440B">
        <w:rPr>
          <w:highlight w:val="yellow"/>
          <w:lang w:val="en-IE"/>
        </w:rPr>
        <w:t xml:space="preserve"> confirm the established debt to the Union.</w:t>
      </w:r>
    </w:p>
  </w:footnote>
  <w:footnote w:id="7">
    <w:p w14:paraId="6DE1FC9D" w14:textId="47D0C92C" w:rsidR="00BD1517" w:rsidRPr="00B5440B" w:rsidRDefault="00BD1517" w:rsidP="009D0375">
      <w:pPr>
        <w:pStyle w:val="FootnoteText"/>
        <w:rPr>
          <w:lang w:val="en-IE"/>
        </w:rPr>
      </w:pPr>
      <w:r w:rsidRPr="009B30FB">
        <w:rPr>
          <w:rStyle w:val="FootnoteReference"/>
        </w:rPr>
        <w:footnoteRef/>
      </w:r>
      <w:r w:rsidR="009D0375" w:rsidRPr="00B5440B">
        <w:rPr>
          <w:lang w:val="en-IE"/>
        </w:rPr>
        <w:tab/>
      </w:r>
      <w:r w:rsidRPr="00B5440B">
        <w:rPr>
          <w:highlight w:val="yellow"/>
          <w:lang w:val="en-IE"/>
        </w:rPr>
        <w:t>&lt;DDP (Delivered Duty Paid)&gt;/&lt;DAP (Delivered At Place)&gt;</w:t>
      </w:r>
      <w:r w:rsidRPr="00B5440B">
        <w:rPr>
          <w:sz w:val="22"/>
          <w:szCs w:val="22"/>
          <w:lang w:val="en-IE"/>
        </w:rPr>
        <w:t xml:space="preserve"> </w:t>
      </w:r>
      <w:r w:rsidRPr="00B5440B">
        <w:rPr>
          <w:lang w:val="en-IE"/>
        </w:rPr>
        <w:t xml:space="preserve">- Incoterms 2020 International Chamber of Commerce - </w:t>
      </w:r>
      <w:hyperlink r:id="rId4" w:history="1">
        <w:r w:rsidRPr="001E08E3">
          <w:rPr>
            <w:rStyle w:val="Hyperlink"/>
            <w:lang w:val="en-GB"/>
          </w:rPr>
          <w:t>http://www.iccwbo.org/incoterms/</w:t>
        </w:r>
      </w:hyperlink>
    </w:p>
  </w:footnote>
  <w:footnote w:id="8">
    <w:p w14:paraId="613D5799" w14:textId="2FC28031" w:rsidR="009F7E6A" w:rsidRDefault="009F7E6A" w:rsidP="009D0375">
      <w:pPr>
        <w:pStyle w:val="FootnoteText"/>
      </w:pPr>
      <w:r>
        <w:rPr>
          <w:rStyle w:val="FootnoteReference"/>
        </w:rPr>
        <w:footnoteRef/>
      </w:r>
      <w:r w:rsidR="005A123C">
        <w:tab/>
      </w:r>
      <w:r>
        <w:t>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2B32B" w14:textId="77777777" w:rsidR="00C84FFB" w:rsidRDefault="00C84F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106F" w14:textId="77777777" w:rsidR="00C84FFB" w:rsidRDefault="00C84FFB">
    <w:pPr>
      <w:pStyle w:val="Header"/>
      <w:jc w:val="left"/>
    </w:pPr>
    <w:r>
      <w:drawing>
        <wp:inline xmlns:a="http://schemas.openxmlformats.org/drawingml/2006/main" xmlns:pic="http://schemas.openxmlformats.org/drawingml/2006/picture">
          <wp:extent cx="2103120" cy="634362"/>
          <wp:docPr id="1" name="Picture 1"/>
          <wp:cNvGraphicFramePr>
            <a:graphicFrameLocks noChangeAspect="1"/>
          </wp:cNvGraphicFramePr>
          <a:graphic>
            <a:graphicData uri="http://schemas.openxmlformats.org/drawingml/2006/picture">
              <pic:pic>
                <pic:nvPicPr>
                  <pic:cNvPr id="0" name="IPA - Interreg logo BG-RS_3.jpg"/>
                  <pic:cNvPicPr/>
                </pic:nvPicPr>
                <pic:blipFill>
                  <a:blip r:embed="rId1"/>
                  <a:stretch>
                    <a:fillRect/>
                  </a:stretch>
                </pic:blipFill>
                <pic:spPr>
                  <a:xfrm>
                    <a:off x="0" y="0"/>
                    <a:ext cx="2103120" cy="634362"/>
                  </a:xfrm>
                  <a:prstGeom prst="rec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53C7F" w14:textId="77777777" w:rsidR="00C84FFB" w:rsidRDefault="00C84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1188699">
    <w:abstractNumId w:val="10"/>
  </w:num>
  <w:num w:numId="2" w16cid:durableId="818964447">
    <w:abstractNumId w:val="23"/>
  </w:num>
  <w:num w:numId="3" w16cid:durableId="1091316594">
    <w:abstractNumId w:val="9"/>
  </w:num>
  <w:num w:numId="4" w16cid:durableId="325011496">
    <w:abstractNumId w:val="12"/>
  </w:num>
  <w:num w:numId="5" w16cid:durableId="1126629808">
    <w:abstractNumId w:val="25"/>
  </w:num>
  <w:num w:numId="6" w16cid:durableId="2105033888">
    <w:abstractNumId w:val="7"/>
  </w:num>
  <w:num w:numId="7" w16cid:durableId="974914910">
    <w:abstractNumId w:val="4"/>
  </w:num>
  <w:num w:numId="8" w16cid:durableId="1185364038">
    <w:abstractNumId w:val="1"/>
  </w:num>
  <w:num w:numId="9" w16cid:durableId="1801801330">
    <w:abstractNumId w:val="13"/>
  </w:num>
  <w:num w:numId="10" w16cid:durableId="205871635">
    <w:abstractNumId w:val="3"/>
  </w:num>
  <w:num w:numId="11" w16cid:durableId="1573999615">
    <w:abstractNumId w:val="21"/>
  </w:num>
  <w:num w:numId="12" w16cid:durableId="310447625">
    <w:abstractNumId w:val="11"/>
  </w:num>
  <w:num w:numId="13" w16cid:durableId="2093429629">
    <w:abstractNumId w:val="5"/>
  </w:num>
  <w:num w:numId="14" w16cid:durableId="892740171">
    <w:abstractNumId w:val="18"/>
  </w:num>
  <w:num w:numId="15" w16cid:durableId="1700667367">
    <w:abstractNumId w:val="19"/>
  </w:num>
  <w:num w:numId="16" w16cid:durableId="787310804">
    <w:abstractNumId w:val="6"/>
  </w:num>
  <w:num w:numId="17" w16cid:durableId="1691101858">
    <w:abstractNumId w:val="15"/>
  </w:num>
  <w:num w:numId="18" w16cid:durableId="860165109">
    <w:abstractNumId w:val="8"/>
  </w:num>
  <w:num w:numId="19" w16cid:durableId="1202285303">
    <w:abstractNumId w:val="2"/>
  </w:num>
  <w:num w:numId="20" w16cid:durableId="988704147">
    <w:abstractNumId w:val="22"/>
  </w:num>
  <w:num w:numId="21" w16cid:durableId="1560508426">
    <w:abstractNumId w:val="16"/>
  </w:num>
  <w:num w:numId="22" w16cid:durableId="1179002257">
    <w:abstractNumId w:val="14"/>
  </w:num>
  <w:num w:numId="23" w16cid:durableId="229584476">
    <w:abstractNumId w:val="0"/>
  </w:num>
  <w:num w:numId="24" w16cid:durableId="1334186439">
    <w:abstractNumId w:val="20"/>
  </w:num>
  <w:num w:numId="25" w16cid:durableId="1944266987">
    <w:abstractNumId w:val="26"/>
  </w:num>
  <w:num w:numId="26" w16cid:durableId="173958389">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56673"/>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07E4"/>
    <w:rsid w:val="000021E1"/>
    <w:rsid w:val="0000334D"/>
    <w:rsid w:val="00007C5B"/>
    <w:rsid w:val="00015C5E"/>
    <w:rsid w:val="00024A8F"/>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65DF"/>
    <w:rsid w:val="00066CBA"/>
    <w:rsid w:val="000714BB"/>
    <w:rsid w:val="000724EA"/>
    <w:rsid w:val="0007671B"/>
    <w:rsid w:val="00085CA1"/>
    <w:rsid w:val="00087F35"/>
    <w:rsid w:val="0009286D"/>
    <w:rsid w:val="00092A48"/>
    <w:rsid w:val="0009746B"/>
    <w:rsid w:val="000A1A71"/>
    <w:rsid w:val="000A3B36"/>
    <w:rsid w:val="000A3E2A"/>
    <w:rsid w:val="000A5F2B"/>
    <w:rsid w:val="000A6371"/>
    <w:rsid w:val="000A7A2C"/>
    <w:rsid w:val="000B0983"/>
    <w:rsid w:val="000B1236"/>
    <w:rsid w:val="000B3D64"/>
    <w:rsid w:val="000B46A8"/>
    <w:rsid w:val="000B79F6"/>
    <w:rsid w:val="000C4AE6"/>
    <w:rsid w:val="000C709A"/>
    <w:rsid w:val="000D24E3"/>
    <w:rsid w:val="000D2B44"/>
    <w:rsid w:val="000D40DB"/>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172C"/>
    <w:rsid w:val="001320DF"/>
    <w:rsid w:val="00144E89"/>
    <w:rsid w:val="001465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2260"/>
    <w:rsid w:val="001766D9"/>
    <w:rsid w:val="00177A94"/>
    <w:rsid w:val="00180E2D"/>
    <w:rsid w:val="00181980"/>
    <w:rsid w:val="00184144"/>
    <w:rsid w:val="001859A5"/>
    <w:rsid w:val="001864B6"/>
    <w:rsid w:val="00187253"/>
    <w:rsid w:val="00190077"/>
    <w:rsid w:val="001932AF"/>
    <w:rsid w:val="001937B4"/>
    <w:rsid w:val="001A0632"/>
    <w:rsid w:val="001A6941"/>
    <w:rsid w:val="001A6C79"/>
    <w:rsid w:val="001B4DA9"/>
    <w:rsid w:val="001B5454"/>
    <w:rsid w:val="001B55AC"/>
    <w:rsid w:val="001C6A79"/>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0552"/>
    <w:rsid w:val="00211229"/>
    <w:rsid w:val="00211E0F"/>
    <w:rsid w:val="00216ADC"/>
    <w:rsid w:val="00216F0D"/>
    <w:rsid w:val="002209F1"/>
    <w:rsid w:val="00220BF7"/>
    <w:rsid w:val="00224C44"/>
    <w:rsid w:val="00225CDC"/>
    <w:rsid w:val="00227A8C"/>
    <w:rsid w:val="00230AB3"/>
    <w:rsid w:val="00232677"/>
    <w:rsid w:val="00240B1F"/>
    <w:rsid w:val="002426D3"/>
    <w:rsid w:val="0024425D"/>
    <w:rsid w:val="002442B7"/>
    <w:rsid w:val="002455C7"/>
    <w:rsid w:val="0025137A"/>
    <w:rsid w:val="002543D5"/>
    <w:rsid w:val="002560BB"/>
    <w:rsid w:val="002561C8"/>
    <w:rsid w:val="00256304"/>
    <w:rsid w:val="00256CB2"/>
    <w:rsid w:val="00262F04"/>
    <w:rsid w:val="0026542C"/>
    <w:rsid w:val="00271700"/>
    <w:rsid w:val="00272A7B"/>
    <w:rsid w:val="00277BEB"/>
    <w:rsid w:val="0028364A"/>
    <w:rsid w:val="00283AC4"/>
    <w:rsid w:val="00290561"/>
    <w:rsid w:val="00294190"/>
    <w:rsid w:val="0029676B"/>
    <w:rsid w:val="00297C14"/>
    <w:rsid w:val="002A0041"/>
    <w:rsid w:val="002A651B"/>
    <w:rsid w:val="002A6DB8"/>
    <w:rsid w:val="002B3B4D"/>
    <w:rsid w:val="002B6401"/>
    <w:rsid w:val="002C649A"/>
    <w:rsid w:val="002C74BB"/>
    <w:rsid w:val="002D0CE1"/>
    <w:rsid w:val="002D1FCC"/>
    <w:rsid w:val="002D2D27"/>
    <w:rsid w:val="002D2FC0"/>
    <w:rsid w:val="002D34D3"/>
    <w:rsid w:val="002D6EED"/>
    <w:rsid w:val="002E5532"/>
    <w:rsid w:val="002F0BB0"/>
    <w:rsid w:val="002F1222"/>
    <w:rsid w:val="002F3C0E"/>
    <w:rsid w:val="0031140C"/>
    <w:rsid w:val="00317D86"/>
    <w:rsid w:val="00322263"/>
    <w:rsid w:val="00324259"/>
    <w:rsid w:val="0032469B"/>
    <w:rsid w:val="003308C6"/>
    <w:rsid w:val="003316E3"/>
    <w:rsid w:val="0033212F"/>
    <w:rsid w:val="003323F5"/>
    <w:rsid w:val="003330F8"/>
    <w:rsid w:val="00335E06"/>
    <w:rsid w:val="0033700A"/>
    <w:rsid w:val="003409B8"/>
    <w:rsid w:val="003439C4"/>
    <w:rsid w:val="00345D44"/>
    <w:rsid w:val="00347B7E"/>
    <w:rsid w:val="003502E9"/>
    <w:rsid w:val="00351351"/>
    <w:rsid w:val="00360344"/>
    <w:rsid w:val="003613D2"/>
    <w:rsid w:val="00361AE1"/>
    <w:rsid w:val="00361AF6"/>
    <w:rsid w:val="0036422F"/>
    <w:rsid w:val="00371851"/>
    <w:rsid w:val="00371F01"/>
    <w:rsid w:val="003721AD"/>
    <w:rsid w:val="00372540"/>
    <w:rsid w:val="00382640"/>
    <w:rsid w:val="0038357E"/>
    <w:rsid w:val="00384BAB"/>
    <w:rsid w:val="00384BFF"/>
    <w:rsid w:val="00384E02"/>
    <w:rsid w:val="00385FFC"/>
    <w:rsid w:val="00387C56"/>
    <w:rsid w:val="003915CC"/>
    <w:rsid w:val="00391C12"/>
    <w:rsid w:val="003925E9"/>
    <w:rsid w:val="0039277B"/>
    <w:rsid w:val="003933E2"/>
    <w:rsid w:val="00395823"/>
    <w:rsid w:val="003A1309"/>
    <w:rsid w:val="003A431E"/>
    <w:rsid w:val="003C084D"/>
    <w:rsid w:val="003C7266"/>
    <w:rsid w:val="003D2078"/>
    <w:rsid w:val="003D3CAA"/>
    <w:rsid w:val="003D625C"/>
    <w:rsid w:val="003D6B6C"/>
    <w:rsid w:val="003D7611"/>
    <w:rsid w:val="003E5CA0"/>
    <w:rsid w:val="003E7C71"/>
    <w:rsid w:val="003F2FA4"/>
    <w:rsid w:val="003F3783"/>
    <w:rsid w:val="003F3B51"/>
    <w:rsid w:val="003F44B3"/>
    <w:rsid w:val="003F44DD"/>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0FE7"/>
    <w:rsid w:val="0043157A"/>
    <w:rsid w:val="004316F0"/>
    <w:rsid w:val="0043240C"/>
    <w:rsid w:val="00432F7A"/>
    <w:rsid w:val="00441859"/>
    <w:rsid w:val="00445A75"/>
    <w:rsid w:val="004476EF"/>
    <w:rsid w:val="004520DC"/>
    <w:rsid w:val="0045310F"/>
    <w:rsid w:val="00454E0D"/>
    <w:rsid w:val="004554CB"/>
    <w:rsid w:val="0045678B"/>
    <w:rsid w:val="004607CD"/>
    <w:rsid w:val="004626B5"/>
    <w:rsid w:val="00463E3C"/>
    <w:rsid w:val="00474AF3"/>
    <w:rsid w:val="004775D2"/>
    <w:rsid w:val="00477689"/>
    <w:rsid w:val="0047783A"/>
    <w:rsid w:val="00483E26"/>
    <w:rsid w:val="0049088E"/>
    <w:rsid w:val="0049293D"/>
    <w:rsid w:val="00494168"/>
    <w:rsid w:val="004A0140"/>
    <w:rsid w:val="004A101E"/>
    <w:rsid w:val="004A6563"/>
    <w:rsid w:val="004A7ED9"/>
    <w:rsid w:val="004B7463"/>
    <w:rsid w:val="004C270A"/>
    <w:rsid w:val="004C35B5"/>
    <w:rsid w:val="004C3C82"/>
    <w:rsid w:val="004C6030"/>
    <w:rsid w:val="004C77A2"/>
    <w:rsid w:val="004D2FD8"/>
    <w:rsid w:val="004D33C9"/>
    <w:rsid w:val="004D7349"/>
    <w:rsid w:val="004E43B2"/>
    <w:rsid w:val="004E6C5D"/>
    <w:rsid w:val="004F5C57"/>
    <w:rsid w:val="004F7A0E"/>
    <w:rsid w:val="005005D7"/>
    <w:rsid w:val="00501FF0"/>
    <w:rsid w:val="005047E0"/>
    <w:rsid w:val="00507AF2"/>
    <w:rsid w:val="00507BA0"/>
    <w:rsid w:val="00512BE8"/>
    <w:rsid w:val="00513C6F"/>
    <w:rsid w:val="00515D85"/>
    <w:rsid w:val="00516552"/>
    <w:rsid w:val="0051770F"/>
    <w:rsid w:val="0052175F"/>
    <w:rsid w:val="00530948"/>
    <w:rsid w:val="0053480C"/>
    <w:rsid w:val="00535826"/>
    <w:rsid w:val="00536B4A"/>
    <w:rsid w:val="00537189"/>
    <w:rsid w:val="00551543"/>
    <w:rsid w:val="00554164"/>
    <w:rsid w:val="00555019"/>
    <w:rsid w:val="00555E74"/>
    <w:rsid w:val="00555F46"/>
    <w:rsid w:val="00556923"/>
    <w:rsid w:val="00556F39"/>
    <w:rsid w:val="005603B0"/>
    <w:rsid w:val="005634B2"/>
    <w:rsid w:val="00563662"/>
    <w:rsid w:val="00563669"/>
    <w:rsid w:val="00575CB0"/>
    <w:rsid w:val="005772F7"/>
    <w:rsid w:val="00582894"/>
    <w:rsid w:val="00583FF3"/>
    <w:rsid w:val="00584F28"/>
    <w:rsid w:val="0058601E"/>
    <w:rsid w:val="00586D6C"/>
    <w:rsid w:val="00591F23"/>
    <w:rsid w:val="005921FA"/>
    <w:rsid w:val="00593430"/>
    <w:rsid w:val="00593550"/>
    <w:rsid w:val="005967B4"/>
    <w:rsid w:val="005A016E"/>
    <w:rsid w:val="005A123C"/>
    <w:rsid w:val="005A6C0F"/>
    <w:rsid w:val="005B0129"/>
    <w:rsid w:val="005B083F"/>
    <w:rsid w:val="005B2018"/>
    <w:rsid w:val="005B3CAB"/>
    <w:rsid w:val="005B5937"/>
    <w:rsid w:val="005C0EA1"/>
    <w:rsid w:val="005C36B8"/>
    <w:rsid w:val="005D0163"/>
    <w:rsid w:val="005D03AA"/>
    <w:rsid w:val="005D05B0"/>
    <w:rsid w:val="005D72F7"/>
    <w:rsid w:val="005F3C51"/>
    <w:rsid w:val="005F62D0"/>
    <w:rsid w:val="00602210"/>
    <w:rsid w:val="00611A73"/>
    <w:rsid w:val="006219A1"/>
    <w:rsid w:val="00623AB3"/>
    <w:rsid w:val="006311FE"/>
    <w:rsid w:val="0063123B"/>
    <w:rsid w:val="00631F9A"/>
    <w:rsid w:val="00633829"/>
    <w:rsid w:val="00636E8F"/>
    <w:rsid w:val="00637C8F"/>
    <w:rsid w:val="006408AC"/>
    <w:rsid w:val="00640D24"/>
    <w:rsid w:val="00642E75"/>
    <w:rsid w:val="00651B07"/>
    <w:rsid w:val="00655A60"/>
    <w:rsid w:val="006575A8"/>
    <w:rsid w:val="00661B3C"/>
    <w:rsid w:val="0066519D"/>
    <w:rsid w:val="00670223"/>
    <w:rsid w:val="00677500"/>
    <w:rsid w:val="0068247E"/>
    <w:rsid w:val="00683E34"/>
    <w:rsid w:val="00684801"/>
    <w:rsid w:val="006858D9"/>
    <w:rsid w:val="00686ACD"/>
    <w:rsid w:val="00686E07"/>
    <w:rsid w:val="006917B2"/>
    <w:rsid w:val="00692095"/>
    <w:rsid w:val="00695007"/>
    <w:rsid w:val="006A5F84"/>
    <w:rsid w:val="006A601D"/>
    <w:rsid w:val="006B0AB1"/>
    <w:rsid w:val="006B145B"/>
    <w:rsid w:val="006B5E82"/>
    <w:rsid w:val="006C2D19"/>
    <w:rsid w:val="006C2F05"/>
    <w:rsid w:val="006C3263"/>
    <w:rsid w:val="006C513D"/>
    <w:rsid w:val="006D3BA1"/>
    <w:rsid w:val="006D3DE4"/>
    <w:rsid w:val="006D5CEE"/>
    <w:rsid w:val="006E5450"/>
    <w:rsid w:val="006E54F2"/>
    <w:rsid w:val="006E56FD"/>
    <w:rsid w:val="006E5B49"/>
    <w:rsid w:val="006E6880"/>
    <w:rsid w:val="006F43E5"/>
    <w:rsid w:val="006F596C"/>
    <w:rsid w:val="00703B91"/>
    <w:rsid w:val="00704477"/>
    <w:rsid w:val="00711C72"/>
    <w:rsid w:val="0071212E"/>
    <w:rsid w:val="0071243A"/>
    <w:rsid w:val="00720411"/>
    <w:rsid w:val="00722016"/>
    <w:rsid w:val="00724C93"/>
    <w:rsid w:val="00724D0C"/>
    <w:rsid w:val="00725082"/>
    <w:rsid w:val="0073450F"/>
    <w:rsid w:val="007520CA"/>
    <w:rsid w:val="0075384B"/>
    <w:rsid w:val="007552DC"/>
    <w:rsid w:val="00760195"/>
    <w:rsid w:val="007625F7"/>
    <w:rsid w:val="00763299"/>
    <w:rsid w:val="00763B1C"/>
    <w:rsid w:val="0076610D"/>
    <w:rsid w:val="007666CD"/>
    <w:rsid w:val="00772E0E"/>
    <w:rsid w:val="00775F12"/>
    <w:rsid w:val="00776BF7"/>
    <w:rsid w:val="00777E99"/>
    <w:rsid w:val="007858B9"/>
    <w:rsid w:val="00791DAC"/>
    <w:rsid w:val="00792A1B"/>
    <w:rsid w:val="00794EE6"/>
    <w:rsid w:val="00795949"/>
    <w:rsid w:val="00797C04"/>
    <w:rsid w:val="007A0045"/>
    <w:rsid w:val="007A1101"/>
    <w:rsid w:val="007A3D34"/>
    <w:rsid w:val="007A67D6"/>
    <w:rsid w:val="007A6AF5"/>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0347"/>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94325"/>
    <w:rsid w:val="008A048D"/>
    <w:rsid w:val="008A0660"/>
    <w:rsid w:val="008A39B7"/>
    <w:rsid w:val="008A6DE2"/>
    <w:rsid w:val="008B230C"/>
    <w:rsid w:val="008C4E79"/>
    <w:rsid w:val="008C5A40"/>
    <w:rsid w:val="008C5DAA"/>
    <w:rsid w:val="008C6A92"/>
    <w:rsid w:val="008D065E"/>
    <w:rsid w:val="008E007A"/>
    <w:rsid w:val="008E40E2"/>
    <w:rsid w:val="008E5F59"/>
    <w:rsid w:val="008E7A2D"/>
    <w:rsid w:val="008F3866"/>
    <w:rsid w:val="008F4FF6"/>
    <w:rsid w:val="009143FD"/>
    <w:rsid w:val="00920A51"/>
    <w:rsid w:val="00922542"/>
    <w:rsid w:val="00923EDA"/>
    <w:rsid w:val="009251E3"/>
    <w:rsid w:val="00925DBE"/>
    <w:rsid w:val="00930AD1"/>
    <w:rsid w:val="0093582A"/>
    <w:rsid w:val="009372A3"/>
    <w:rsid w:val="00945CA1"/>
    <w:rsid w:val="0094670B"/>
    <w:rsid w:val="00950B0C"/>
    <w:rsid w:val="009679FA"/>
    <w:rsid w:val="0097513D"/>
    <w:rsid w:val="00980A42"/>
    <w:rsid w:val="00983FDE"/>
    <w:rsid w:val="00986B1E"/>
    <w:rsid w:val="009976B3"/>
    <w:rsid w:val="009A0E33"/>
    <w:rsid w:val="009A3792"/>
    <w:rsid w:val="009A3A53"/>
    <w:rsid w:val="009A4F18"/>
    <w:rsid w:val="009A69B2"/>
    <w:rsid w:val="009A7E29"/>
    <w:rsid w:val="009B0CF1"/>
    <w:rsid w:val="009B1FBF"/>
    <w:rsid w:val="009B2F1F"/>
    <w:rsid w:val="009B422E"/>
    <w:rsid w:val="009B4D6F"/>
    <w:rsid w:val="009B5A6D"/>
    <w:rsid w:val="009B71DF"/>
    <w:rsid w:val="009C0E86"/>
    <w:rsid w:val="009D0375"/>
    <w:rsid w:val="009D2938"/>
    <w:rsid w:val="009D2E17"/>
    <w:rsid w:val="009D6A3D"/>
    <w:rsid w:val="009E4F6E"/>
    <w:rsid w:val="009E6BB7"/>
    <w:rsid w:val="009F22C3"/>
    <w:rsid w:val="009F3126"/>
    <w:rsid w:val="009F323B"/>
    <w:rsid w:val="009F7E6A"/>
    <w:rsid w:val="00A039CA"/>
    <w:rsid w:val="00A04004"/>
    <w:rsid w:val="00A101C9"/>
    <w:rsid w:val="00A11551"/>
    <w:rsid w:val="00A11F12"/>
    <w:rsid w:val="00A13EB8"/>
    <w:rsid w:val="00A1746F"/>
    <w:rsid w:val="00A2645C"/>
    <w:rsid w:val="00A277E9"/>
    <w:rsid w:val="00A31EF5"/>
    <w:rsid w:val="00A41B28"/>
    <w:rsid w:val="00A5099A"/>
    <w:rsid w:val="00A512A5"/>
    <w:rsid w:val="00A512C9"/>
    <w:rsid w:val="00A539E4"/>
    <w:rsid w:val="00A55A8E"/>
    <w:rsid w:val="00A56046"/>
    <w:rsid w:val="00A62073"/>
    <w:rsid w:val="00A63E3C"/>
    <w:rsid w:val="00A665A2"/>
    <w:rsid w:val="00A7016F"/>
    <w:rsid w:val="00A72C82"/>
    <w:rsid w:val="00A75650"/>
    <w:rsid w:val="00A76A6E"/>
    <w:rsid w:val="00A812E9"/>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6D78"/>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350"/>
    <w:rsid w:val="00B2488A"/>
    <w:rsid w:val="00B2499C"/>
    <w:rsid w:val="00B2529B"/>
    <w:rsid w:val="00B277E4"/>
    <w:rsid w:val="00B30528"/>
    <w:rsid w:val="00B3168E"/>
    <w:rsid w:val="00B34179"/>
    <w:rsid w:val="00B44B08"/>
    <w:rsid w:val="00B44DC5"/>
    <w:rsid w:val="00B4772C"/>
    <w:rsid w:val="00B51209"/>
    <w:rsid w:val="00B52AFC"/>
    <w:rsid w:val="00B5440B"/>
    <w:rsid w:val="00B569B1"/>
    <w:rsid w:val="00B576E1"/>
    <w:rsid w:val="00B57BB8"/>
    <w:rsid w:val="00B605B6"/>
    <w:rsid w:val="00B61CED"/>
    <w:rsid w:val="00B63280"/>
    <w:rsid w:val="00B70C0E"/>
    <w:rsid w:val="00B7329A"/>
    <w:rsid w:val="00B80DE8"/>
    <w:rsid w:val="00B8161D"/>
    <w:rsid w:val="00B84EBC"/>
    <w:rsid w:val="00B90A17"/>
    <w:rsid w:val="00B90C14"/>
    <w:rsid w:val="00B9254B"/>
    <w:rsid w:val="00B9316C"/>
    <w:rsid w:val="00B96171"/>
    <w:rsid w:val="00B965CD"/>
    <w:rsid w:val="00B9691D"/>
    <w:rsid w:val="00BA3081"/>
    <w:rsid w:val="00BA3B1A"/>
    <w:rsid w:val="00BA70CB"/>
    <w:rsid w:val="00BB2075"/>
    <w:rsid w:val="00BB2DA5"/>
    <w:rsid w:val="00BB56D3"/>
    <w:rsid w:val="00BC0A51"/>
    <w:rsid w:val="00BC3B75"/>
    <w:rsid w:val="00BC3D17"/>
    <w:rsid w:val="00BC6222"/>
    <w:rsid w:val="00BC743F"/>
    <w:rsid w:val="00BD1306"/>
    <w:rsid w:val="00BD1517"/>
    <w:rsid w:val="00BD19BA"/>
    <w:rsid w:val="00BD201F"/>
    <w:rsid w:val="00BD2F43"/>
    <w:rsid w:val="00BD3371"/>
    <w:rsid w:val="00BD727C"/>
    <w:rsid w:val="00BD72C6"/>
    <w:rsid w:val="00BE3FDF"/>
    <w:rsid w:val="00BF1A9A"/>
    <w:rsid w:val="00C01E30"/>
    <w:rsid w:val="00C05EBE"/>
    <w:rsid w:val="00C12AF0"/>
    <w:rsid w:val="00C13C29"/>
    <w:rsid w:val="00C1524D"/>
    <w:rsid w:val="00C17310"/>
    <w:rsid w:val="00C20179"/>
    <w:rsid w:val="00C20F71"/>
    <w:rsid w:val="00C302E1"/>
    <w:rsid w:val="00C3235B"/>
    <w:rsid w:val="00C34E40"/>
    <w:rsid w:val="00C41328"/>
    <w:rsid w:val="00C41919"/>
    <w:rsid w:val="00C45D2B"/>
    <w:rsid w:val="00C52305"/>
    <w:rsid w:val="00C61312"/>
    <w:rsid w:val="00C70783"/>
    <w:rsid w:val="00C70E2C"/>
    <w:rsid w:val="00C720C8"/>
    <w:rsid w:val="00C73AAE"/>
    <w:rsid w:val="00C73F87"/>
    <w:rsid w:val="00C75CCE"/>
    <w:rsid w:val="00C778A1"/>
    <w:rsid w:val="00C80DCF"/>
    <w:rsid w:val="00C8298B"/>
    <w:rsid w:val="00C846C9"/>
    <w:rsid w:val="00C84FFB"/>
    <w:rsid w:val="00C86724"/>
    <w:rsid w:val="00C92434"/>
    <w:rsid w:val="00C94A76"/>
    <w:rsid w:val="00C95838"/>
    <w:rsid w:val="00CA1354"/>
    <w:rsid w:val="00CA1E77"/>
    <w:rsid w:val="00CA2B18"/>
    <w:rsid w:val="00CA3F76"/>
    <w:rsid w:val="00CA6C68"/>
    <w:rsid w:val="00CB616B"/>
    <w:rsid w:val="00CC189A"/>
    <w:rsid w:val="00CC7DE2"/>
    <w:rsid w:val="00CD68C0"/>
    <w:rsid w:val="00CD6FC9"/>
    <w:rsid w:val="00CD7F25"/>
    <w:rsid w:val="00CF2DE2"/>
    <w:rsid w:val="00CF30C4"/>
    <w:rsid w:val="00CF6CFA"/>
    <w:rsid w:val="00D02E23"/>
    <w:rsid w:val="00D11009"/>
    <w:rsid w:val="00D131B2"/>
    <w:rsid w:val="00D14292"/>
    <w:rsid w:val="00D17DAE"/>
    <w:rsid w:val="00D23D4C"/>
    <w:rsid w:val="00D243E7"/>
    <w:rsid w:val="00D24469"/>
    <w:rsid w:val="00D24893"/>
    <w:rsid w:val="00D25624"/>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7711A"/>
    <w:rsid w:val="00D82847"/>
    <w:rsid w:val="00D83918"/>
    <w:rsid w:val="00D83D1B"/>
    <w:rsid w:val="00D86B5F"/>
    <w:rsid w:val="00D90043"/>
    <w:rsid w:val="00D91D64"/>
    <w:rsid w:val="00D92D6A"/>
    <w:rsid w:val="00D93DB5"/>
    <w:rsid w:val="00D979C6"/>
    <w:rsid w:val="00DA4AB8"/>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817"/>
    <w:rsid w:val="00E17269"/>
    <w:rsid w:val="00E20891"/>
    <w:rsid w:val="00E2190B"/>
    <w:rsid w:val="00E219CD"/>
    <w:rsid w:val="00E2682A"/>
    <w:rsid w:val="00E27678"/>
    <w:rsid w:val="00E27B1D"/>
    <w:rsid w:val="00E33D2D"/>
    <w:rsid w:val="00E340A7"/>
    <w:rsid w:val="00E34208"/>
    <w:rsid w:val="00E36C8F"/>
    <w:rsid w:val="00E37290"/>
    <w:rsid w:val="00E37A55"/>
    <w:rsid w:val="00E37E11"/>
    <w:rsid w:val="00E41C6F"/>
    <w:rsid w:val="00E46AA5"/>
    <w:rsid w:val="00E52467"/>
    <w:rsid w:val="00E52D98"/>
    <w:rsid w:val="00E5499A"/>
    <w:rsid w:val="00E54B1B"/>
    <w:rsid w:val="00E55D87"/>
    <w:rsid w:val="00E571E1"/>
    <w:rsid w:val="00E60A37"/>
    <w:rsid w:val="00E62221"/>
    <w:rsid w:val="00E62923"/>
    <w:rsid w:val="00E653F0"/>
    <w:rsid w:val="00E66C96"/>
    <w:rsid w:val="00E672EF"/>
    <w:rsid w:val="00E70FE6"/>
    <w:rsid w:val="00E730A5"/>
    <w:rsid w:val="00E74AE4"/>
    <w:rsid w:val="00E76535"/>
    <w:rsid w:val="00E811F3"/>
    <w:rsid w:val="00E85F91"/>
    <w:rsid w:val="00E87734"/>
    <w:rsid w:val="00EA2492"/>
    <w:rsid w:val="00EA63E1"/>
    <w:rsid w:val="00EB2C4D"/>
    <w:rsid w:val="00EB32E9"/>
    <w:rsid w:val="00EB3F46"/>
    <w:rsid w:val="00EB45CB"/>
    <w:rsid w:val="00EB78F4"/>
    <w:rsid w:val="00EC51B6"/>
    <w:rsid w:val="00ED58B7"/>
    <w:rsid w:val="00EE0ED9"/>
    <w:rsid w:val="00EE23B1"/>
    <w:rsid w:val="00EE2E55"/>
    <w:rsid w:val="00EE456E"/>
    <w:rsid w:val="00EF1C05"/>
    <w:rsid w:val="00EF3951"/>
    <w:rsid w:val="00EF6426"/>
    <w:rsid w:val="00EF6552"/>
    <w:rsid w:val="00F017DE"/>
    <w:rsid w:val="00F02006"/>
    <w:rsid w:val="00F0405C"/>
    <w:rsid w:val="00F0574A"/>
    <w:rsid w:val="00F16179"/>
    <w:rsid w:val="00F21266"/>
    <w:rsid w:val="00F215D8"/>
    <w:rsid w:val="00F30624"/>
    <w:rsid w:val="00F33149"/>
    <w:rsid w:val="00F33605"/>
    <w:rsid w:val="00F33A99"/>
    <w:rsid w:val="00F355C1"/>
    <w:rsid w:val="00F35D21"/>
    <w:rsid w:val="00F4288C"/>
    <w:rsid w:val="00F436C3"/>
    <w:rsid w:val="00F4528C"/>
    <w:rsid w:val="00F460CA"/>
    <w:rsid w:val="00F51D3D"/>
    <w:rsid w:val="00F545FC"/>
    <w:rsid w:val="00F54872"/>
    <w:rsid w:val="00F56D4C"/>
    <w:rsid w:val="00F60098"/>
    <w:rsid w:val="00F658F3"/>
    <w:rsid w:val="00F671B9"/>
    <w:rsid w:val="00F676D0"/>
    <w:rsid w:val="00F67C74"/>
    <w:rsid w:val="00F70353"/>
    <w:rsid w:val="00F72977"/>
    <w:rsid w:val="00F75F46"/>
    <w:rsid w:val="00F8016B"/>
    <w:rsid w:val="00F804E1"/>
    <w:rsid w:val="00F838EB"/>
    <w:rsid w:val="00F86699"/>
    <w:rsid w:val="00F874CE"/>
    <w:rsid w:val="00F87ABC"/>
    <w:rsid w:val="00F87F88"/>
    <w:rsid w:val="00F90A9F"/>
    <w:rsid w:val="00F91DF6"/>
    <w:rsid w:val="00F94745"/>
    <w:rsid w:val="00F952A4"/>
    <w:rsid w:val="00F962E3"/>
    <w:rsid w:val="00FA3F66"/>
    <w:rsid w:val="00FB2706"/>
    <w:rsid w:val="00FB3374"/>
    <w:rsid w:val="00FB67DE"/>
    <w:rsid w:val="00FD1E84"/>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6673"/>
    <o:shapelayout v:ext="edit">
      <o:idmap v:ext="edit" data="1"/>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0D9"/>
    <w:pPr>
      <w:spacing w:before="120" w:after="120"/>
    </w:pPr>
    <w:rPr>
      <w:rFonts w:ascii="Arial" w:hAnsi="Arial"/>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autoRedefine/>
    <w:uiPriority w:val="99"/>
    <w:qFormat/>
    <w:rsid w:val="009D0375"/>
    <w:pPr>
      <w:spacing w:before="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uiPriority w:val="99"/>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uiPriority w:val="99"/>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basedOn w:val="DefaultParagraphFont"/>
    <w:uiPriority w:val="99"/>
    <w:semiHidden/>
    <w:unhideWhenUsed/>
    <w:rsid w:val="003F3783"/>
    <w:rPr>
      <w:color w:val="605E5C"/>
      <w:shd w:val="clear" w:color="auto" w:fill="E1DFDD"/>
    </w:rPr>
  </w:style>
  <w:style w:type="paragraph" w:customStyle="1" w:styleId="paragraph">
    <w:name w:val="paragraph"/>
    <w:basedOn w:val="Normal"/>
    <w:rsid w:val="003F3783"/>
    <w:pPr>
      <w:spacing w:before="100" w:beforeAutospacing="1" w:after="100" w:afterAutospacing="1"/>
    </w:pPr>
    <w:rPr>
      <w:rFonts w:ascii="Times New Roman" w:hAnsi="Times New Roman"/>
      <w:snapToGrid/>
      <w:sz w:val="24"/>
      <w:szCs w:val="24"/>
      <w:lang w:val="fr-BE" w:eastAsia="fr-BE"/>
    </w:rPr>
  </w:style>
  <w:style w:type="character" w:styleId="UnresolvedMention">
    <w:name w:val="Unresolved Mention"/>
    <w:basedOn w:val="DefaultParagraphFont"/>
    <w:uiPriority w:val="99"/>
    <w:semiHidden/>
    <w:unhideWhenUsed/>
    <w:rsid w:val="006A60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info/funding-tenders/opportunities/portal/" TargetMode="External"/><Relationship Id="rId13" Type="http://schemas.openxmlformats.org/officeDocument/2006/relationships/hyperlink" Target="https://wikis.ec.europa.eu/display/ExactExternalWiki/Annexes"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icsid.worldbank.org/" TargetMode="External"/><Relationship Id="rId17" Type="http://schemas.openxmlformats.org/officeDocument/2006/relationships/footer" Target="footer1.xml"/><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csid.worldbank.org/" TargetMode="Externa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customXml" Target="../customXml/item2.xml"/><Relationship Id="rId10" Type="http://schemas.openxmlformats.org/officeDocument/2006/relationships/hyperlink" Target="https://ec.europa.eu/info/funding-tenders/opportunities/portal/"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c.europa.eu/info/funding-tenders/opportunities/portal/" TargetMode="External"/><Relationship Id="rId14" Type="http://schemas.openxmlformats.org/officeDocument/2006/relationships/hyperlink" Target="https://wikis.ec.europa.eu/display/ExactExternalWiki/Annexes"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myintracomm.ec.europa.eu/corp/budget/treasury-accounting/recovery/Pages/recovery-order-statistics.aspx" TargetMode="External"/><Relationship Id="rId2" Type="http://schemas.openxmlformats.org/officeDocument/2006/relationships/hyperlink" Target="http://www.iccwbo.org/incoterms/" TargetMode="External"/><Relationship Id="rId1" Type="http://schemas.openxmlformats.org/officeDocument/2006/relationships/hyperlink" Target="http://data.europa.eu/eli/reg/2024/792/oj" TargetMode="External"/><Relationship Id="rId4" Type="http://schemas.openxmlformats.org/officeDocument/2006/relationships/hyperlink" Target="http://www.iccwbo.org/incoterm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Props1.xml><?xml version="1.0" encoding="utf-8"?>
<ds:datastoreItem xmlns:ds="http://schemas.openxmlformats.org/officeDocument/2006/customXml" ds:itemID="{89C5B7ED-67BE-46AA-9A80-221A7F9AB456}">
  <ds:schemaRefs>
    <ds:schemaRef ds:uri="http://schemas.openxmlformats.org/officeDocument/2006/bibliography"/>
  </ds:schemaRefs>
</ds:datastoreItem>
</file>

<file path=customXml/itemProps2.xml><?xml version="1.0" encoding="utf-8"?>
<ds:datastoreItem xmlns:ds="http://schemas.openxmlformats.org/officeDocument/2006/customXml" ds:itemID="{25479E6F-6E88-4AAC-A8F9-66D006ED09E6}"/>
</file>

<file path=customXml/itemProps3.xml><?xml version="1.0" encoding="utf-8"?>
<ds:datastoreItem xmlns:ds="http://schemas.openxmlformats.org/officeDocument/2006/customXml" ds:itemID="{BBAD0FE0-0391-4774-BB00-4A6D644CE6CE}"/>
</file>

<file path=customXml/itemProps4.xml><?xml version="1.0" encoding="utf-8"?>
<ds:datastoreItem xmlns:ds="http://schemas.openxmlformats.org/officeDocument/2006/customXml" ds:itemID="{0859912E-F0F1-48F0-B12B-B355AF4BA54A}"/>
</file>

<file path=docProps/app.xml><?xml version="1.0" encoding="utf-8"?>
<Properties xmlns="http://schemas.openxmlformats.org/officeDocument/2006/extended-properties" xmlns:vt="http://schemas.openxmlformats.org/officeDocument/2006/docPropsVTypes">
  <Template>Normal.dotm</Template>
  <TotalTime>1072</TotalTime>
  <Pages>14</Pages>
  <Words>5459</Words>
  <Characters>30303</Characters>
  <Application>Microsoft Office Word</Application>
  <DocSecurity>0</DocSecurity>
  <Lines>531</Lines>
  <Paragraphs>281</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35481</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Supply of IT and data-centre equipment for the NINET data centre in Niš</dc:title>
  <dc:subject/>
  <dc:creator>Ninet Company d.o.o.</dc:creator>
  <cp:keywords/>
  <cp:lastModifiedBy>Ninet Company d.o.o.</cp:lastModifiedBy>
  <cp:revision>106</cp:revision>
  <cp:lastPrinted>2014-02-11T14:32:00Z</cp:lastPrinted>
  <dcterms:created xsi:type="dcterms:W3CDTF">2018-12-18T11:40:00Z</dcterms:created>
  <dcterms:modified xsi:type="dcterms:W3CDTF">2024-12-16T09:08:00Z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y fmtid="{D5CDD505-2E9C-101B-9397-08002B2CF9AE}" pid="10" name="ContentTypeId">
    <vt:lpwstr>0x010100724FDE23FB365D4CB8B2901107175F9F</vt:lpwstr>
  </property>
</Properties>
</file>