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jc w:val="center"/>
      </w:pPr>
      <w:r>
        <w:rPr>
          <w:b/>
          <w:sz w:val="28"/>
        </w:rPr>
        <w:t>Additional information about the Contract Notice</w:t>
      </w:r>
    </w:p>
    <w:p>
      <w:pPr/>
    </w:p>
    <w:p>
      <w:pPr>
        <w:jc w:val="center"/>
      </w:pPr>
      <w:r>
        <w:rPr>
          <w:b/>
        </w:rPr>
        <w:t>Supply of IT and data-centre equipment for the NINET data centre in Niš</w:t>
      </w:r>
    </w:p>
    <w:p>
      <w:pPr>
        <w:jc w:val="center"/>
      </w:pPr>
      <w:r>
        <w:rPr>
          <w:b/>
        </w:rPr>
        <w:t>Niš, Republic of Serbia</w:t>
      </w:r>
    </w:p>
    <w:p>
      <w:pPr>
        <w:jc w:val="center"/>
      </w:pPr>
      <w:r>
        <w:rPr>
          <w:b/>
        </w:rPr>
        <w:t>Publication reference: BGRS0500152-TD01-PP2</w:t>
      </w:r>
    </w:p>
    <w:p>
      <w:pPr/>
    </w:p>
    <w:p>
      <w:pPr>
        <w:pStyle w:val="PRAGHeading2"/>
      </w:pPr>
      <w:r>
        <w:rPr>
          <w:b/>
        </w:rPr>
        <w:t>Nature of contract</w:t>
      </w:r>
    </w:p>
    <w:p>
      <w:pPr>
        <w:pStyle w:val="PRAGHeading2"/>
        <w:numPr>
          <w:ilvl w:val="0"/>
          <w:numId w:val="0"/>
        </w:numPr>
      </w:pPr>
      <w:r>
        <w:t>Supply contract – unit price.</w:t>
      </w:r>
    </w:p>
    <w:p>
      <w:pPr>
        <w:pStyle w:val="PRAGHeading2"/>
      </w:pPr>
      <w:r>
        <w:rPr>
          <w:b/>
        </w:rPr>
        <w:t>Programme title</w:t>
      </w:r>
    </w:p>
    <w:p>
      <w:pPr>
        <w:pStyle w:val="PRAGHeading2"/>
        <w:numPr>
          <w:ilvl w:val="0"/>
          <w:numId w:val="0"/>
        </w:numPr>
      </w:pPr>
      <w:r>
        <w:t>Interreg VI-A IPA Bulgaria–Serbia Programme 2021–2027.</w:t>
      </w:r>
    </w:p>
    <w:p>
      <w:pPr>
        <w:pStyle w:val="PRAGHeading2"/>
      </w:pPr>
      <w:r>
        <w:rPr>
          <w:b/>
        </w:rPr>
        <w:t>Financing</w:t>
      </w:r>
    </w:p>
    <w:p>
      <w:pPr>
        <w:pStyle w:val="PRAGHeading2"/>
        <w:numPr>
          <w:ilvl w:val="0"/>
          <w:numId w:val="0"/>
        </w:numPr>
      </w:pPr>
      <w:r>
        <w:t>This contract is financed by the European Union under the Instrument for Pre-accession Assistance (IPA III), established by Regulation (EU) 2021/1529, through the Interreg VI-A IPA Bulgaria–Serbia Programme 2021–2027, and is implemented under indirect management by the contracting authority.</w:t>
      </w:r>
    </w:p>
    <w:p>
      <w:pPr>
        <w:pStyle w:val="PRAGHeading2"/>
      </w:pPr>
      <w:r>
        <w:rPr>
          <w:b/>
        </w:rPr>
        <w:t>Legal basis, eligibility and rules of origin</w:t>
      </w:r>
    </w:p>
    <w:p>
      <w:pPr>
        <w:pStyle w:val="PRAGHeading2"/>
        <w:numPr>
          <w:ilvl w:val="0"/>
          <w:numId w:val="0"/>
        </w:numPr>
      </w:pPr>
      <w:r>
        <w:t>The legal basis of this procedure is Regulation (EU) No 2021/1529 of the European Parliament and of the Council establishing the Instrument for Pre-accession Assistance (IPA III). See Annex a2a1 of the practical guide (PRAG).</w:t>
      </w:r>
    </w:p>
    <w:p>
      <w:pPr>
        <w:pStyle w:val="PRAGHeading2"/>
        <w:numPr>
          <w:ilvl w:val="0"/>
          <w:numId w:val="0"/>
        </w:numPr>
      </w:pPr>
      <w:r>
        <w:t>For this contract award procedure, participation is open to all natural persons who are nationals of and legal persons (participating either individually or in a grouping – consortium – of tenderers) which are effectively established in a Member State of the European Union or in an eligible country or territory as defined under Article 11 of Regulation (EU) No 2021/1529 establishing the Instrument for Pre-accession Assistance (IPA III).</w:t>
      </w:r>
    </w:p>
    <w:p>
      <w:pPr>
        <w:pStyle w:val="PRAGHeading2"/>
        <w:numPr>
          <w:ilvl w:val="0"/>
          <w:numId w:val="0"/>
        </w:numPr>
      </w:pPr>
      <w:r>
        <w:t>Participation is also open to international and regional organisations.</w:t>
      </w:r>
    </w:p>
    <w:p>
      <w:pPr>
        <w:pStyle w:val="PRAGHeading2"/>
        <w:numPr>
          <w:ilvl w:val="0"/>
          <w:numId w:val="0"/>
        </w:numPr>
      </w:pPr>
      <w:r>
        <w:t>The same rule of nationality applies to subcontractors and to capacity-providing entities on whose capacity a tenderer relies.</w:t>
      </w:r>
    </w:p>
    <w:p>
      <w:pPr>
        <w:pStyle w:val="PRAGHeading2"/>
        <w:numPr>
          <w:ilvl w:val="0"/>
          <w:numId w:val="0"/>
        </w:numPr>
      </w:pPr>
      <w:r>
        <w:t>The rule of nationality does not apply to the natural persons employed or otherwise legally contracted by an eligible tenderer, subcontractor or capacity-providing entity; such persons may be of any nationality.</w:t>
      </w:r>
    </w:p>
    <w:p>
      <w:pPr>
        <w:pStyle w:val="PRAGHeading2"/>
        <w:numPr>
          <w:ilvl w:val="0"/>
          <w:numId w:val="0"/>
        </w:numPr>
      </w:pPr>
      <w:r>
        <w:t>All supplies under this contract may originate in any country. Accordingly, no verification of origin is carried out under this procedure and no declaration of origin has to be submitted by the tenderer.</w:t>
      </w:r>
    </w:p>
    <w:p>
      <w:pPr>
        <w:pStyle w:val="PRAGHeading2"/>
        <w:numPr>
          <w:ilvl w:val="0"/>
          <w:numId w:val="0"/>
        </w:numPr>
      </w:pPr>
      <w:r>
        <w:t>Legal persons must state the country in which they are effectively established and, if requested by the contracting authority, provide evidence of such establishment by presenting the documents required under the law of that country. Natural persons must state the country of which they are nationals.</w:t>
      </w:r>
    </w:p>
    <w:p>
      <w:pPr>
        <w:pStyle w:val="PRAGHeading2"/>
      </w:pPr>
      <w:r>
        <w:rPr>
          <w:b/>
        </w:rPr>
        <w:t>Candidature</w:t>
      </w:r>
    </w:p>
    <w:p>
      <w:pPr>
        <w:pStyle w:val="PRAGHeading2"/>
        <w:numPr>
          <w:ilvl w:val="0"/>
          <w:numId w:val="0"/>
        </w:numPr>
      </w:pPr>
      <w:r>
        <w:t>All eligible natural and legal persons (as per item 4 above) or groupings of such persons (consortia) may tender.</w:t>
      </w:r>
    </w:p>
    <w:p>
      <w:pPr>
        <w:pStyle w:val="PRAGHeading2"/>
        <w:numPr>
          <w:ilvl w:val="0"/>
          <w:numId w:val="0"/>
        </w:numPr>
      </w:pPr>
      <w:r>
        <w:t>A consortium may be a permanent, legally established grouping or a grouping which has been constituted informally for a specific procurement procedure. All members of a consortium (i.e. the leader and all other members) are jointly and severally liable to the contracting authority.</w:t>
      </w:r>
    </w:p>
    <w:p>
      <w:pPr>
        <w:pStyle w:val="PRAGHeading2"/>
        <w:numPr>
          <w:ilvl w:val="0"/>
          <w:numId w:val="0"/>
        </w:numPr>
      </w:pPr>
      <w:r>
        <w:t>The tender of an ineligible natural or legal person will result in the automatic exclusion of that person. In particular, if that ineligible person belongs to a consortium, the whole consortium will be excluded.</w:t>
      </w:r>
    </w:p>
    <w:p>
      <w:pPr>
        <w:pStyle w:val="PRAGHeading2"/>
        <w:numPr>
          <w:ilvl w:val="0"/>
          <w:numId w:val="0"/>
        </w:numPr>
      </w:pPr>
      <w:r>
        <w:t>This is a local open tender procedure. It provides eligible tenderers established outside the Republic of Serbia with exactly the same opportunities as those established in the Republic of Serbia. No condition restricting the participation of eligible tenderers established in other eligible countries is applied.</w:t>
      </w:r>
    </w:p>
    <w:p>
      <w:pPr>
        <w:pStyle w:val="PRAGHeading2"/>
      </w:pPr>
      <w:r>
        <w:rPr>
          <w:b/>
        </w:rPr>
        <w:t>Number of tenders and lots</w:t>
      </w:r>
    </w:p>
    <w:p>
      <w:pPr>
        <w:pStyle w:val="PRAGHeading2"/>
        <w:numPr>
          <w:ilvl w:val="0"/>
          <w:numId w:val="0"/>
        </w:numPr>
      </w:pPr>
      <w:r>
        <w:t>This contract is divided into two lots. Tenderers may tender for one lot or for both lots.</w:t>
      </w:r>
    </w:p>
    <w:p>
      <w:pPr>
        <w:pStyle w:val="PRAGHeading2"/>
        <w:numPr>
          <w:ilvl w:val="0"/>
          <w:numId w:val="0"/>
        </w:numPr>
      </w:pPr>
      <w:r>
        <w:t>No more than one tender can be submitted per lot by a natural or legal person, whatever the form of participation (as an individual legal entity or as leader or member of a consortium submitting a tender). In the event that a natural or legal person submits more than one tender per lot, all tenders for that lot in which that person has participated will be excluded.</w:t>
      </w:r>
    </w:p>
    <w:p>
      <w:pPr>
        <w:pStyle w:val="PRAGHeading2"/>
        <w:numPr>
          <w:ilvl w:val="0"/>
          <w:numId w:val="0"/>
        </w:numPr>
      </w:pPr>
      <w:r>
        <w:t>Contracts will be awarded lot by lot and each lot will form a separate contract. If the tenderer is awarded more than one lot, a single contract may be concluded covering both lots.</w:t>
      </w:r>
    </w:p>
    <w:p>
      <w:pPr>
        <w:pStyle w:val="PRAGHeading2"/>
      </w:pPr>
      <w:r>
        <w:rPr>
          <w:b/>
        </w:rPr>
        <w:t>Grounds for exclusion</w:t>
      </w:r>
    </w:p>
    <w:p>
      <w:pPr>
        <w:pStyle w:val="PRAGHeading2"/>
        <w:numPr>
          <w:ilvl w:val="0"/>
          <w:numId w:val="0"/>
        </w:numPr>
      </w:pPr>
      <w:r>
        <w:t>Tenderers must submit, together with their tender, a signed declaration on honour on exclusion and selection criteria (Annex a14a of the practical guide) to the effect that they are not in any of the situations listed in Section 2.4.2.1 of the practical guide (PRAG). Where the tenderer intends to rely on capacity-providing entities or on subcontractor(s), it must provide the same declaration, signed by each of those entities.</w:t>
      </w:r>
    </w:p>
    <w:p>
      <w:pPr>
        <w:pStyle w:val="PRAGHeading2"/>
        <w:numPr>
          <w:ilvl w:val="0"/>
          <w:numId w:val="0"/>
        </w:numPr>
      </w:pPr>
      <w:r>
        <w:t>In the case of a consortium, the declaration on honour must be signed by each member of the consortium.</w:t>
      </w:r>
    </w:p>
    <w:p>
      <w:pPr>
        <w:pStyle w:val="PRAGHeading2"/>
        <w:numPr>
          <w:ilvl w:val="0"/>
          <w:numId w:val="0"/>
        </w:numPr>
      </w:pPr>
      <w:r>
        <w:t>Tenderers included in the lists of EU restrictive measures (see Section 2.4 of the PRAG) at the moment of the award decision cannot be awarded the contract.</w:t>
      </w:r>
    </w:p>
    <w:p>
      <w:pPr>
        <w:pStyle w:val="PRAGHeading2"/>
        <w:numPr>
          <w:ilvl w:val="0"/>
          <w:numId w:val="0"/>
        </w:numPr>
      </w:pPr>
      <w:r>
        <w:t>The tenderer presumed successful for a lot must supply, upon request of the contracting authority and before the award of the contract, the supporting evidence referred to in Section 2.4.2.3 of the PRAG.</w:t>
      </w:r>
    </w:p>
    <w:p>
      <w:pPr>
        <w:pStyle w:val="PRAGHeading2"/>
      </w:pPr>
      <w:r>
        <w:rPr>
          <w:b/>
        </w:rPr>
        <w:t>Sub-contracting</w:t>
      </w:r>
    </w:p>
    <w:p>
      <w:pPr>
        <w:pStyle w:val="PRAGHeading2"/>
        <w:numPr>
          <w:ilvl w:val="0"/>
          <w:numId w:val="0"/>
        </w:numPr>
      </w:pPr>
      <w:r>
        <w:t>Sub-contracting is allowed.</w:t>
      </w:r>
    </w:p>
    <w:p>
      <w:pPr>
        <w:pStyle w:val="PRAGHeading2"/>
      </w:pPr>
      <w:r>
        <w:rPr>
          <w:b/>
        </w:rPr>
        <w:t>Period of implementation of tasks</w:t>
      </w:r>
    </w:p>
    <w:p>
      <w:pPr>
        <w:pStyle w:val="PRAGHeading2"/>
        <w:numPr>
          <w:ilvl w:val="0"/>
          <w:numId w:val="0"/>
        </w:numPr>
      </w:pPr>
      <w:r>
        <w:rPr>
          <w:b/>
        </w:rPr>
        <w:t>30 days for Lot 1 and 90 days for Lot 2</w:t>
      </w:r>
      <w:r>
        <w:t xml:space="preserve">, from the date of signature of the contract by the last of the two parties until provisional acceptance.</w:t>
      </w:r>
    </w:p>
    <w:p>
      <w:pPr>
        <w:pStyle w:val="PRAGHeading2"/>
      </w:pPr>
      <w:r>
        <w:rPr>
          <w:b/>
        </w:rPr>
        <w:t>Language of the procedure</w:t>
      </w:r>
    </w:p>
    <w:p>
      <w:pPr>
        <w:pStyle w:val="PRAGHeading2"/>
        <w:numPr>
          <w:ilvl w:val="0"/>
          <w:numId w:val="0"/>
        </w:numPr>
      </w:pPr>
      <w:r>
        <w:t>All written communications for this tender procedure and contract must be in English. Tenders must be submitted in English.</w:t>
      </w:r>
    </w:p>
    <w:p>
      <w:pPr>
        <w:pStyle w:val="PRAGHeading2"/>
      </w:pPr>
      <w:r>
        <w:rPr>
          <w:b/>
        </w:rPr>
        <w:t>Additional information</w:t>
      </w:r>
    </w:p>
    <w:p>
      <w:pPr>
        <w:pStyle w:val="PRAGHeading2"/>
        <w:numPr>
          <w:ilvl w:val="0"/>
          <w:numId w:val="0"/>
        </w:numPr>
      </w:pPr>
      <w:r>
        <w:t>Financial data to be provided by the tenderer in the tender submission form must be expressed in EUR. Where a tenderer refers to amounts originally expressed in a different currency, the conversion to EUR shall be made in accordance with the InforEuro exchange rate of September 2026, which can be found at the following address: https://commission.europa.eu/funding-tenders/procedures-guidelines-tenders/information-contractors-and-beneficiaries/exchange-rate-inforeuro_en.</w:t>
      </w:r>
      <w:r>
        <w:rPr>
          <w:b/>
        </w:rPr>
      </w:r>
      <w:r/>
    </w:p>
    <w:p>
      <w:pPr>
        <w:pStyle w:val="PRAGHeading2"/>
        <w:numPr>
          <w:ilvl w:val="0"/>
          <w:numId w:val="0"/>
        </w:numPr>
      </w:pPr>
      <w:r>
        <w:t>Scope of the lots (indicative volume of the purchase):</w:t>
      </w:r>
    </w:p>
    <w:p>
      <w:pPr>
        <w:pStyle w:val="Blockquote"/>
      </w:pPr>
      <w:r>
        <w:t>Lot 1 – Racks and UPS equipment: 2 uninterruptible power supply units of 20 kVA each (redundant configuration, supplying 3 racks); 2 network management cards; 3 racks of 42U; 3 power distribution units with SNMP monitoring; 3 environmental monitoring units; 2 temperature and humidity sensors; together with the related cabling, installation, training and commissioning services.</w:t>
      </w:r>
    </w:p>
    <w:p>
      <w:pPr>
        <w:pStyle w:val="Blockquote"/>
      </w:pPr>
      <w:r>
        <w:t>Lot 2 – Virtualisation equipment: 6 compute nodes of 1U each; 1 storage system with dual-redundant controllers; 1 dual-stack switch with at least 48 x 10 GbE ports and 4 x 40 GbE ports; together with the related delivery, installation, training and commissioning services.</w:t>
      </w:r>
    </w:p>
    <w:p>
      <w:pPr>
        <w:pStyle w:val="PRAGHeading2"/>
        <w:numPr>
          <w:ilvl w:val="0"/>
          <w:numId w:val="0"/>
        </w:numPr>
      </w:pPr>
      <w:r>
        <w:t>The above quantities are indicative of the volume of the purchase. The detailed requirements are set out in the technical specifications of the tender dossier.</w:t>
      </w:r>
    </w:p>
    <w:p>
      <w:pPr/>
    </w:p>
    <w:p>
      <w:pPr/>
      <w:r>
        <w:rPr>
          <w:b/>
        </w:rPr>
        <w:t>SELECTION AND AWARD CRITERIA</w:t>
      </w:r>
    </w:p>
    <w:p>
      <w:pPr>
        <w:pStyle w:val="PRAGHeading2"/>
      </w:pPr>
      <w:r>
        <w:rPr>
          <w:b/>
        </w:rPr>
        <w:t>Selection criteria</w:t>
      </w:r>
    </w:p>
    <w:p>
      <w:pPr>
        <w:pStyle w:val="PRAGHeading2"/>
        <w:numPr>
          <w:ilvl w:val="0"/>
          <w:numId w:val="0"/>
        </w:numPr>
      </w:pPr>
      <w:r>
        <w:t>Capacity-providing entities</w:t>
      </w:r>
    </w:p>
    <w:p>
      <w:pPr>
        <w:pStyle w:val="PRAGHeading2"/>
        <w:numPr>
          <w:ilvl w:val="0"/>
          <w:numId w:val="0"/>
        </w:numPr>
      </w:pPr>
      <w:r>
        <w:t>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fulfil the selection criteria for which the economic operator relies on them. Furthermore, the data for this third entity for the relevant selection criterion should not be included in the tender form but in a separate document. Proof of the capacity will also have to be provided when requested by the contracting authority.</w:t>
      </w:r>
    </w:p>
    <w:p>
      <w:pPr>
        <w:pStyle w:val="PRAGHeading2"/>
        <w:numPr>
          <w:ilvl w:val="0"/>
          <w:numId w:val="0"/>
        </w:numPr>
      </w:pPr>
      <w:r>
        <w:t>With regard to technical and professional criteria, an economic operator may only rely on the capacities of other entities where the latter will perform the tasks for which these capacities are required.</w:t>
      </w:r>
    </w:p>
    <w:p>
      <w:pPr>
        <w:pStyle w:val="PRAGHeading2"/>
        <w:numPr>
          <w:ilvl w:val="0"/>
          <w:numId w:val="0"/>
        </w:numPr>
      </w:pPr>
      <w:r>
        <w:t>How the selection criteria are applied</w:t>
      </w:r>
    </w:p>
    <w:p>
      <w:pPr>
        <w:pStyle w:val="PRAGHeading2"/>
        <w:numPr>
          <w:ilvl w:val="0"/>
          <w:numId w:val="0"/>
        </w:numPr>
      </w:pPr>
      <w:r>
        <w:t>The selection criteria set out below are clear, non-discriminatory, related to the subject matter of the contract and proportionate to it. They correspond to the data requested from the tenderer in the tender submission form (Annex c4l of the practical guide): item 3 for economic and financial capacity and item 6 for experience.</w:t>
      </w:r>
    </w:p>
    <w:p>
      <w:pPr>
        <w:pStyle w:val="PRAGHeading2"/>
        <w:numPr>
          <w:ilvl w:val="0"/>
          <w:numId w:val="0"/>
        </w:numPr>
      </w:pPr>
      <w:r>
        <w:t>Each selection criterion is assessed on a YES/NO basis. A tenderer which does not satisfy every selection criterion applicable to a lot for which it tenders will be excluded from the evaluation of that lot. Where a tenderer tenders for both lots, the assessment is made lot by lot and, in addition, against the combined criteria set out under item 12.3 below.</w:t>
      </w:r>
    </w:p>
    <w:p>
      <w:pPr>
        <w:pStyle w:val="PRAGHeading2"/>
        <w:numPr>
          <w:ilvl w:val="0"/>
          <w:numId w:val="0"/>
        </w:numPr>
      </w:pPr>
      <w:r>
        <w:t>In the case of a tender submitted by a consortium, the selection criteria are applied to the consortium as a whole, unless it is expressly stated otherwise for an individual criterion. The selection criteria are not applied to natural persons and single-member companies when they are subcontractors.</w:t>
      </w:r>
    </w:p>
    <w:p>
      <w:pPr>
        <w:pStyle w:val="PRAGHeading2"/>
        <w:numPr>
          <w:ilvl w:val="0"/>
          <w:numId w:val="0"/>
        </w:numPr>
      </w:pPr>
      <w:r>
        <w:t>The tenderer shall not use previous experience which caused breach of contract and termination by a contracting authority as a reference for the selection criteria.</w:t>
      </w:r>
    </w:p>
    <w:p>
      <w:pPr>
        <w:pStyle w:val="PRAGHeading2"/>
        <w:numPr>
          <w:ilvl w:val="0"/>
          <w:numId w:val="0"/>
        </w:numPr>
      </w:pPr>
      <w:r>
        <w:t>Different minimum levels of capacity are set for each lot. Additional levels of capacity apply where both lots are awarded to the same tenderer.</w:t>
      </w:r>
    </w:p>
    <w:p>
      <w:pPr>
        <w:pStyle w:val="Blockquote"/>
      </w:pPr>
      <w:r>
        <w:rPr>
          <w:b/>
        </w:rPr>
        <w:t>12.1  Lot 1 – Racks and UPS equipment</w:t>
      </w:r>
    </w:p>
    <w:p>
      <w:pPr>
        <w:pStyle w:val="Blockquote"/>
      </w:pPr>
      <w:r>
        <w:rPr>
          <w:b/>
        </w:rPr>
        <w:t>1) Suitability to pursue the professional activity</w:t>
      </w:r>
    </w:p>
    <w:p>
      <w:pPr>
        <w:pStyle w:val="Blockquote"/>
      </w:pPr>
      <w:r>
        <w:t>Criterion 1.1: The tenderer is enrolled in the professional or trade register of the country in which it is effectively established, for an activity which covers the supply and/or trade of IT and/or data-centre equipment (including electrical and power equipment). For tenderers effectively established in the Republic of Serbia, this means registration with the Business Registers Agency (Agencija za privredne registre – APR). Enrolment in the equivalent register of any other eligible country is accepted on exactly the same terms; registration in the Republic of Serbia is not required from tenderers established in another eligible country.</w:t>
      </w:r>
    </w:p>
    <w:p>
      <w:pPr>
        <w:pStyle w:val="Blockquote"/>
      </w:pPr>
      <w:r>
        <w:t>Assessment: YES / NO. In the case of a consortium, this criterion must be met by each member of the consortium.</w:t>
      </w:r>
    </w:p>
    <w:p>
      <w:pPr>
        <w:pStyle w:val="Blockquote"/>
      </w:pPr>
      <w:r>
        <w:t xml:space="preserve">Evidence: an extract from the relevant professional or trade register (for Serbian tenderers: the APR registration extract), or an equivalent certificate issued by the competent authority of the country of establishment, issued not more than </w:t>
      </w:r>
      <w:r>
        <w:rPr>
          <w:b/>
        </w:rPr>
        <w:t>6 months</w:t>
      </w:r>
      <w:r>
        <w:t xml:space="preserve"> before the deadline for submission of tenders.</w:t>
      </w:r>
    </w:p>
    <w:p>
      <w:pPr>
        <w:pStyle w:val="Blockquote"/>
      </w:pPr>
      <w:r>
        <w:rPr>
          <w:b/>
        </w:rPr>
        <w:t>2) Economic and financial capacity (based on item 3 of the tender form)</w:t>
      </w:r>
    </w:p>
    <w:p>
      <w:pPr>
        <w:pStyle w:val="Blockquote"/>
      </w:pPr>
      <w:r>
        <w:rPr>
          <w:b w:val="0"/>
        </w:rPr>
        <w:t>The objective of this criterion is to verify that the tenderer has the financial standing required to perform the contract.</w:t>
      </w:r>
    </w:p>
    <w:p>
      <w:pPr>
        <w:pStyle w:val="Blockquote"/>
      </w:pPr>
      <w:r>
        <w:rPr>
          <w:b w:val="0"/>
        </w:rPr>
        <w:t>Criterion 2.1: The tenderer's average annual turnover for the last 2 financial years for which the accounts have been closed is at least EUR 40 000.</w:t>
      </w:r>
    </w:p>
    <w:p>
      <w:pPr>
        <w:pStyle w:val="Blockquote"/>
      </w:pPr>
      <w:r>
        <w:rPr>
          <w:b w:val="0"/>
        </w:rPr>
        <w:t>Assessment: YES / NO. In the case of a consortium, the turnover of all members is added together.</w:t>
      </w:r>
    </w:p>
    <w:p>
      <w:pPr>
        <w:pStyle w:val="Blockquote"/>
      </w:pPr>
      <w:r>
        <w:rPr>
          <w:b w:val="0"/>
        </w:rPr>
        <w:t>Evidence: financial statements (balance sheet and profit and loss account), or extracts thereof, for the last 2 closed financial years. Requested only from the tenderer presumed successful, before the award.</w:t>
      </w:r>
    </w:p>
    <w:p>
      <w:pPr>
        <w:pStyle w:val="Blockquote"/>
      </w:pPr>
      <w:r>
        <w:rPr>
          <w:b/>
        </w:rPr>
        <w:t>3) Technical and professional capacity (based on item 6 of the tender form)</w:t>
      </w:r>
    </w:p>
    <w:p>
      <w:pPr>
        <w:pStyle w:val="Blockquote"/>
      </w:pPr>
      <w:r>
        <w:t xml:space="preserve">The objective of this criterion is to examine whether the tenderer has sufficient experience to handle the proposed contract. The reference period which will be taken into account is the last </w:t>
      </w:r>
      <w:r>
        <w:rPr>
          <w:b/>
        </w:rPr>
        <w:t>3 years</w:t>
      </w:r>
      <w:r>
        <w:t xml:space="preserve"> preceding the deadline for submission of tenders.</w:t>
      </w:r>
    </w:p>
    <w:p>
      <w:pPr>
        <w:pStyle w:val="Blockquote"/>
      </w:pPr>
      <w:r>
        <w:t xml:space="preserve">Criterion 3.1: The tenderer has delivered supplies under at least </w:t>
      </w:r>
      <w:r>
        <w:rPr>
          <w:b/>
        </w:rPr>
        <w:t>1 (one)</w:t>
      </w:r>
      <w:r>
        <w:t xml:space="preserve"> contract implemented at any moment during the 3 years preceding the deadline for submission of tenders, in the domain of the supply and installation of uninterruptible power supply (UPS) systems and/or data-centre or server-room racks, power distribution units or environmental monitoring equipment. For that contract, the value of the supplies completed by the tenderer must be not less than </w:t>
      </w:r>
      <w:r>
        <w:rPr>
          <w:b/>
        </w:rPr>
        <w:t>EUR 15 000</w:t>
      </w:r>
      <w:r>
        <w:t>.</w:t>
      </w:r>
    </w:p>
    <w:p>
      <w:pPr>
        <w:pStyle w:val="Blockquote"/>
      </w:pPr>
      <w:r>
        <w:t>Criterion 3.2: The tenderer is not subject to professional conflicting interests which may negatively affect contract performance. The presence of professional conflicting interests is examined on the basis of the declaration on honour and, where applicable, of the other statements and documents submitted.</w:t>
      </w:r>
    </w:p>
    <w:p>
      <w:pPr>
        <w:pStyle w:val="Blockquote"/>
      </w:pPr>
      <w:r>
        <w:t>Assessment of criteria 3.1 and 3.2: YES / NO. In the case of a consortium, criterion 3.1 is assessed for the consortium as a whole (the reference contract may have been implemented by any member of the consortium); criterion 3.2 must be met by each member of the consortium.</w:t>
      </w:r>
    </w:p>
    <w:p>
      <w:pPr>
        <w:pStyle w:val="Blockquote"/>
      </w:pPr>
      <w:r>
        <w:t>Evidence: a list of the reference contract(s) relied upon, as completed in item 6 of the tender form, stating for each contract the client, the name, e-mail address and telephone number of a contact person at the client, the start and end dates, the nature of the supplies delivered and the value of the supplies completed by the tenderer; accompanied, upon request of the contracting authority, by a statement or certificate issued by the client, or by an equivalent proof of completion and of value (approval of a delivery or acceptance document, proof of payment).</w:t>
      </w:r>
    </w:p>
    <w:p>
      <w:pPr>
        <w:pStyle w:val="Blockquote"/>
      </w:pPr>
      <w:r>
        <w:rPr>
          <w:b/>
        </w:rPr>
        <w:t>12.2  Lot 2 – Virtualisation equipment</w:t>
      </w:r>
    </w:p>
    <w:p>
      <w:pPr>
        <w:pStyle w:val="Blockquote"/>
      </w:pPr>
      <w:r>
        <w:rPr>
          <w:b/>
        </w:rPr>
        <w:t>1) Suitability to pursue the professional activity</w:t>
      </w:r>
    </w:p>
    <w:p>
      <w:pPr>
        <w:pStyle w:val="Blockquote"/>
      </w:pPr>
      <w:r>
        <w:t>Criterion 1.1: The tenderer is enrolled in the professional or trade register of the country in which it is effectively established, for an activity which covers the supply and/or trade of IT and/or data-centre equipment. For tenderers effectively established in the Republic of Serbia, this means registration with the Business Registers Agency (Agencija za privredne registre – APR). Enrolment in the equivalent register of any other eligible country is accepted on exactly the same terms; registration in the Republic of Serbia is not required from tenderers established in another eligible country.</w:t>
      </w:r>
    </w:p>
    <w:p>
      <w:pPr>
        <w:pStyle w:val="Blockquote"/>
      </w:pPr>
      <w:r>
        <w:t>Assessment: YES / NO. In the case of a consortium, this criterion must be met by each member of the consortium.</w:t>
      </w:r>
    </w:p>
    <w:p>
      <w:pPr>
        <w:pStyle w:val="Blockquote"/>
      </w:pPr>
      <w:r>
        <w:t xml:space="preserve">Evidence: an extract from the relevant professional or trade register (for Serbian tenderers: the APR registration extract), or an equivalent certificate issued by the competent authority of the country of establishment, issued not more than </w:t>
      </w:r>
      <w:r>
        <w:rPr>
          <w:b/>
        </w:rPr>
        <w:t>6 months</w:t>
      </w:r>
      <w:r>
        <w:t xml:space="preserve"> before the deadline for submission of tenders.</w:t>
      </w:r>
    </w:p>
    <w:p>
      <w:pPr>
        <w:pStyle w:val="Blockquote"/>
      </w:pPr>
      <w:r>
        <w:rPr>
          <w:b/>
        </w:rPr>
        <w:t>2) Economic and financial capacity (based on item 3 of the tender form)</w:t>
      </w:r>
    </w:p>
    <w:p>
      <w:pPr>
        <w:pStyle w:val="Blockquote"/>
      </w:pPr>
      <w:r>
        <w:rPr>
          <w:b w:val="0"/>
        </w:rPr>
        <w:t>The objective of this criterion is to verify that the tenderer has the financial standing required to perform the contract.</w:t>
      </w:r>
    </w:p>
    <w:p>
      <w:pPr>
        <w:pStyle w:val="Blockquote"/>
      </w:pPr>
      <w:r>
        <w:rPr>
          <w:b w:val="0"/>
        </w:rPr>
        <w:t>Criterion 2.1: The tenderer's average annual turnover for the last 2 financial years for which the accounts have been closed is at least EUR 80 000.</w:t>
      </w:r>
    </w:p>
    <w:p>
      <w:pPr>
        <w:pStyle w:val="Blockquote"/>
      </w:pPr>
      <w:r>
        <w:rPr>
          <w:b w:val="0"/>
        </w:rPr>
        <w:t>Assessment: YES / NO. In the case of a consortium, the turnover of all members is added together.</w:t>
      </w:r>
    </w:p>
    <w:p>
      <w:pPr>
        <w:pStyle w:val="Blockquote"/>
      </w:pPr>
      <w:r>
        <w:rPr>
          <w:b w:val="0"/>
        </w:rPr>
        <w:t>Evidence: financial statements (balance sheet and profit and loss account), or extracts thereof, for the last 2 closed financial years. Requested only from the tenderer presumed successful, before the award.</w:t>
      </w:r>
    </w:p>
    <w:p>
      <w:pPr>
        <w:pStyle w:val="Blockquote"/>
      </w:pPr>
      <w:r>
        <w:rPr>
          <w:b/>
        </w:rPr>
        <w:t>3) Technical and professional capacity (based on item 6 of the tender form)</w:t>
      </w:r>
    </w:p>
    <w:p>
      <w:pPr>
        <w:pStyle w:val="Blockquote"/>
      </w:pPr>
      <w:r>
        <w:t xml:space="preserve">The objective of this criterion is to examine whether the tenderer has sufficient experience to handle the proposed contract. The reference period which will be taken into account is the last </w:t>
      </w:r>
      <w:r>
        <w:rPr>
          <w:b/>
        </w:rPr>
        <w:t>3 years</w:t>
      </w:r>
      <w:r>
        <w:t xml:space="preserve"> preceding the deadline for submission of tenders.</w:t>
      </w:r>
    </w:p>
    <w:p>
      <w:pPr>
        <w:pStyle w:val="Blockquote"/>
      </w:pPr>
      <w:r>
        <w:t xml:space="preserve">Criterion 3.1: The tenderer has delivered supplies under at least </w:t>
      </w:r>
      <w:r>
        <w:rPr>
          <w:b/>
        </w:rPr>
        <w:t>1 (one)</w:t>
      </w:r>
      <w:r>
        <w:t xml:space="preserve"> contract implemented at any moment during the 3 years preceding the deadline for submission of tenders, in the domain of the supply and installation of servers or compute nodes, data storage systems and/or data-centre network switches. For that contract, the value of the supplies completed by the tenderer must be not less than </w:t>
      </w:r>
      <w:r>
        <w:rPr>
          <w:b/>
        </w:rPr>
        <w:t>EUR 25 000</w:t>
      </w:r>
      <w:r>
        <w:t>.</w:t>
      </w:r>
    </w:p>
    <w:p>
      <w:pPr>
        <w:pStyle w:val="Blockquote"/>
      </w:pPr>
      <w:r>
        <w:t>Criterion 3.2: The tenderer is not subject to professional conflicting interests which may negatively affect contract performance. The presence of professional conflicting interests is examined on the basis of the declaration on honour and, where applicable, of the other statements and documents submitted.</w:t>
      </w:r>
    </w:p>
    <w:p>
      <w:pPr>
        <w:pStyle w:val="Blockquote"/>
      </w:pPr>
      <w:r>
        <w:t>Assessment of criteria 3.1 and 3.2: YES / NO. In the case of a consortium, criterion 3.1 is assessed for the consortium as a whole (the reference contract may have been implemented by any member of the consortium); criterion 3.2 must be met by each member of the consortium.</w:t>
      </w:r>
    </w:p>
    <w:p>
      <w:pPr>
        <w:pStyle w:val="Blockquote"/>
      </w:pPr>
      <w:r>
        <w:t>Evidence: a list of the reference contract(s) relied upon, as completed in item 6 of the tender form, stating for each contract the client, the name, e-mail address and telephone number of a contact person at the client, the start and end dates, the nature of the supplies delivered and the value of the supplies completed by the tenderer; accompanied, upon request of the contracting authority, by a statement or certificate issued by the client, or by an equivalent proof of completion and of value (approval of a delivery or acceptance document, proof of payment).</w:t>
      </w:r>
    </w:p>
    <w:p>
      <w:pPr>
        <w:pStyle w:val="Blockquote"/>
      </w:pPr>
      <w:r>
        <w:rPr>
          <w:b/>
        </w:rPr>
        <w:t>12.3  Tenderers tendering for both Lot 1 and Lot 2</w:t>
      </w:r>
    </w:p>
    <w:p>
      <w:pPr>
        <w:pStyle w:val="Blockquote"/>
      </w:pPr>
      <w:r>
        <w:t>A tenderer which tenders for both lots must, in addition to the criteria of each lot, comply with the following combined selection criteria:</w:t>
      </w:r>
    </w:p>
    <w:p>
      <w:pPr>
        <w:pStyle w:val="Blockquote"/>
      </w:pPr>
      <w:r>
        <w:t>1) Suitability to pursue the professional activity: criterion 1.1 above (a single registration extract covering the supply of IT and/or data-centre equipment satisfies both lots).</w:t>
      </w:r>
    </w:p>
    <w:p>
      <w:pPr>
        <w:pStyle w:val="Blockquote"/>
      </w:pPr>
      <w:r>
        <w:rPr>
          <w:b w:val="0"/>
        </w:rPr>
        <w:t>2) Economic and financial capacity: the tenderer's average annual turnover for the last 2 closed financial years is at least EUR 120 000 (the sum of the two lot thresholds).</w:t>
      </w:r>
    </w:p>
    <w:p>
      <w:pPr>
        <w:pStyle w:val="Blockquote"/>
      </w:pPr>
      <w:r>
        <w:t xml:space="preserve">3) Technical and professional capacity: the tenderer must satisfy criterion 3.1 of Lot 1 and criterion 3.1 of Lot 2, i.e. at least one reference contract in each of the two domains. A single reference contract covering both domains (power/rack infrastructure and server/storage/network equipment) may be used to satisfy both, provided that the value of the supplies completed by the tenderer under that contract is not less than </w:t>
      </w:r>
      <w:r>
        <w:rPr>
          <w:b/>
        </w:rPr>
        <w:t>EUR 40 000</w:t>
      </w:r>
      <w:r>
        <w:t>.</w:t>
      </w:r>
    </w:p>
    <w:p>
      <w:pPr>
        <w:pStyle w:val="Blockquote"/>
      </w:pPr>
      <w:r>
        <w:t>Assessment: YES / NO. A tenderer which tenders for both lots but satisfies the combined criteria for one lot only will be evaluated for that lot only.</w:t>
      </w:r>
    </w:p>
    <w:p>
      <w:pPr>
        <w:pStyle w:val="PRAGHeading2"/>
        <w:numPr>
          <w:ilvl w:val="0"/>
          <w:numId w:val="0"/>
        </w:numPr>
      </w:pPr>
      <w:r>
        <w:t>Documentary evidence</w:t>
      </w:r>
    </w:p>
    <w:p>
      <w:pPr>
        <w:pStyle w:val="PRAGHeading2"/>
        <w:numPr>
          <w:ilvl w:val="0"/>
          <w:numId w:val="0"/>
        </w:numPr>
      </w:pPr>
      <w:r>
        <w:t>At the time of submission, tenderers only have to complete the tender submission form (Annex c4l) and to sign the declaration on honour (Annex a14a). In accordance with Section 2.6.11 of the practical guide, the documentary evidence of the suitability, of the economic and financial capacity and of the technical and professional capacity described above is requested only from the tenderer(s) presumed successful, and must be provided before the award of the contract. If the documentary evidence is not written in one of the official languages of the European Union, a translation into English must be provided.</w:t>
      </w:r>
    </w:p>
    <w:p>
      <w:pPr>
        <w:pStyle w:val="PRAGHeading2"/>
        <w:numPr>
          <w:ilvl w:val="0"/>
          <w:numId w:val="0"/>
        </w:numPr>
      </w:pPr>
      <w:r>
        <w:t>If, for an exceptional reason which the contracting authority considers justified, the tenderer is unable to provide one of the items of evidence requested, it may prove its capacity by any other means which the contracting authority considers appropriate.</w:t>
      </w:r>
    </w:p>
    <w:p>
      <w:pPr>
        <w:pStyle w:val="PRAGHeading2"/>
      </w:pPr>
      <w:r>
        <w:rPr>
          <w:b/>
        </w:rPr>
        <w:t>Award criteria</w:t>
      </w:r>
    </w:p>
    <w:p>
      <w:pPr>
        <w:pStyle w:val="PRAGHeading2"/>
        <w:numPr>
          <w:ilvl w:val="0"/>
          <w:numId w:val="0"/>
        </w:numPr>
      </w:pPr>
      <w:r>
        <w:t>Price. Each lot forms a separate contract and is awarded, lot by lot, to the tenderer submitting the lowest-priced tender among the tenders which have been found administratively compliant, eligible and technically compliant.</w:t>
      </w:r>
    </w:p>
    <w:p>
      <w:pPr/>
    </w:p>
    <w:p>
      <w:pPr/>
      <w:r>
        <w:rPr>
          <w:b/>
        </w:rPr>
        <w:t>PARTICIPATION</w:t>
      </w:r>
    </w:p>
    <w:p>
      <w:pPr>
        <w:pStyle w:val="PRAGHeading2"/>
      </w:pPr>
      <w:r>
        <w:rPr>
          <w:b/>
        </w:rPr>
        <w:t>Tender format and details to be provided</w:t>
      </w:r>
    </w:p>
    <w:p>
      <w:pPr>
        <w:pStyle w:val="PRAGHeading2"/>
        <w:numPr>
          <w:ilvl w:val="0"/>
          <w:numId w:val="0"/>
        </w:numPr>
      </w:pPr>
      <w:r>
        <w:t>Tenders must be submitted using the tender submission form for supply contracts (Annex c4l of the practical guide) and the other templates of the tender dossier, the format and instructions of which must be strictly observed. The templates are available from the following internet address:</w:t>
      </w:r>
    </w:p>
    <w:p>
      <w:pPr>
        <w:pStyle w:val="PRAGHeading2"/>
        <w:numPr>
          <w:ilvl w:val="0"/>
          <w:numId w:val="0"/>
        </w:numPr>
      </w:pPr>
      <w:r>
        <w:t>https://wikis.ec.europa.eu/display/ExactExternalWiki/Annexes</w:t>
      </w:r>
    </w:p>
    <w:p>
      <w:pPr>
        <w:pStyle w:val="PRAGHeading2"/>
        <w:numPr>
          <w:ilvl w:val="0"/>
          <w:numId w:val="0"/>
        </w:numPr>
      </w:pPr>
      <w:r>
        <w:t>The tender must be accompanied by a declaration on honour on exclusion and selection criteria (Annex a14a of the practical guide), using the template available from the following internet address:</w:t>
      </w:r>
    </w:p>
    <w:p>
      <w:pPr>
        <w:pStyle w:val="PRAGHeading2"/>
        <w:numPr>
          <w:ilvl w:val="0"/>
          <w:numId w:val="0"/>
        </w:numPr>
      </w:pPr>
      <w:r>
        <w:t>https://wikis.ec.europa.eu/display/ExactExternalWiki/Annexes#Annexes-AnnexesA(Ch.2):General</w:t>
      </w:r>
    </w:p>
    <w:p>
      <w:pPr>
        <w:pStyle w:val="PRAGHeading2"/>
        <w:numPr>
          <w:ilvl w:val="0"/>
          <w:numId w:val="0"/>
        </w:numPr>
      </w:pPr>
      <w:r>
        <w:t>Any documentation (brochure, letter, etc.) sent with a tender in addition to what has been requested will not be taken into consideration.</w:t>
      </w:r>
    </w:p>
    <w:p>
      <w:pPr>
        <w:pStyle w:val="PRAGHeading2"/>
      </w:pPr>
      <w:r>
        <w:rPr>
          <w:b/>
        </w:rPr>
        <w:t>How tenders may be submitted</w:t>
      </w:r>
    </w:p>
    <w:p>
      <w:pPr>
        <w:pStyle w:val="PRAGHeading2"/>
        <w:numPr>
          <w:ilvl w:val="0"/>
          <w:numId w:val="0"/>
        </w:numPr>
      </w:pPr>
      <w:r>
        <w:t>This contract is implemented under indirect management and the payments to the contractor are made by the contracting authority. Economic operators therefore do not need to register in the European Commission's Participant Register and the Participant Identification Code (PIC) does not need to be filled in in the tender submission form.</w:t>
      </w:r>
    </w:p>
    <w:p>
      <w:pPr>
        <w:pStyle w:val="PRAGHeading2"/>
        <w:numPr>
          <w:ilvl w:val="0"/>
          <w:numId w:val="0"/>
        </w:numPr>
      </w:pPr>
      <w:r>
        <w:t>Tenders must be submitted in English exclusively to the contracting authority, in a sealed envelope:</w:t>
      </w:r>
    </w:p>
    <w:p>
      <w:pPr>
        <w:pStyle w:val="Blockquote"/>
      </w:pPr>
      <w:r>
        <w:t>either by post or by courier service, in which case the evidence shall be constituted by the postmark or the date of the deposit slip, to:</w:t>
      </w:r>
    </w:p>
    <w:p>
      <w:pPr>
        <w:pStyle w:val="Blockquote"/>
      </w:pPr>
      <w:r>
        <w:t>Ninet Company d.o.o.</w:t>
        <w:br/>
        <w:t>Mr Nebojša Simić</w:t>
        <w:br/>
        <w:t>Bulevar Nemanjića 25, TC Zona 3 lok. K6</w:t>
        <w:br/>
        <w:t>18000 Niš, Republic of Serbia</w:t>
      </w:r>
    </w:p>
    <w:p>
      <w:pPr>
        <w:pStyle w:val="Blockquote"/>
      </w:pPr>
      <w:r>
        <w:t>or hand delivered by the tenderer in person or by an agent directly to the premises of the contracting authority in return for a signed and dated receipt, in which case the evidence shall be constituted by this acknowledgement of receipt, to:</w:t>
      </w:r>
    </w:p>
    <w:p>
      <w:pPr>
        <w:pStyle w:val="Blockquote"/>
      </w:pPr>
      <w:r>
        <w:t>Ninet Company d.o.o.</w:t>
        <w:br/>
        <w:t>Mr Nebojša Simić – ipabgsr@ninet.rs</w:t>
        <w:br/>
        <w:t>Bulevar Nemanjića 25, TC Zona 3 lok. K6</w:t>
        <w:br/>
        <w:t>18000 Niš, Republic of Serbia</w:t>
      </w:r>
    </w:p>
    <w:p>
      <w:pPr>
        <w:pStyle w:val="PRAGHeading2"/>
        <w:numPr>
          <w:ilvl w:val="0"/>
          <w:numId w:val="0"/>
        </w:numPr>
      </w:pPr>
      <w:r>
        <w:t>The contract title and the publication reference (see contract notice) must be clearly marked on the envelope containing the tender and must always be mentioned in all subsequent correspondence with the contracting authority. Where the tenderer tenders for both lots, the lots covered by the tender must also be marked on the envelope.</w:t>
      </w:r>
    </w:p>
    <w:p>
      <w:pPr>
        <w:pStyle w:val="PRAGHeading2"/>
        <w:numPr>
          <w:ilvl w:val="0"/>
          <w:numId w:val="0"/>
        </w:numPr>
      </w:pPr>
      <w:r>
        <w:t>Tenders submitted by any other means will not be considered.</w:t>
      </w:r>
    </w:p>
    <w:p>
      <w:pPr>
        <w:pStyle w:val="PRAGHeading2"/>
      </w:pPr>
      <w:r>
        <w:rPr>
          <w:b/>
        </w:rPr>
        <w:t>Deadline for submission of tenders</w:t>
      </w:r>
    </w:p>
    <w:p>
      <w:pPr>
        <w:pStyle w:val="PRAGHeading2"/>
        <w:numPr>
          <w:ilvl w:val="0"/>
          <w:numId w:val="0"/>
        </w:numPr>
      </w:pPr>
      <w:r>
        <w:t>The deadline for submission of tenders is 4 September 2026. The exact time-limit for receipt of tenders is stated in the contract notice.</w:t>
      </w:r>
      <w:r>
        <w:rPr>
          <w:b/>
        </w:rPr>
      </w:r>
      <w:r/>
    </w:p>
    <w:p>
      <w:pPr>
        <w:pStyle w:val="PRAGHeading2"/>
        <w:numPr>
          <w:ilvl w:val="0"/>
          <w:numId w:val="0"/>
        </w:numPr>
      </w:pPr>
      <w:r>
        <w:t>The tenderer's attention is drawn to the fact that there are two different systems for sending tenders: one is by post or private mail service, the other is by hand delivery. In the first case, the tender must be sent before the date and time-limit for submission, as evidenced by the postmark or the deposit slip; in the second case, it is the acknowledgement of receipt given at the time of the delivery of the tender that will serve as proof.</w:t>
      </w:r>
    </w:p>
    <w:p>
      <w:pPr>
        <w:pStyle w:val="PRAGHeading2"/>
        <w:numPr>
          <w:ilvl w:val="0"/>
          <w:numId w:val="0"/>
        </w:numPr>
      </w:pPr>
      <w:r>
        <w:t>Any tender received by the contracting authority after this deadline will not be considered.</w:t>
      </w:r>
    </w:p>
    <w:p>
      <w:pPr>
        <w:pStyle w:val="PRAGHeading2"/>
      </w:pPr>
      <w:r>
        <w:rPr>
          <w:b/>
        </w:rPr>
        <w:t>Clarifications on the contract notice and on this document</w:t>
      </w:r>
    </w:p>
    <w:p>
      <w:pPr>
        <w:pStyle w:val="PRAGHeading2"/>
        <w:numPr>
          <w:ilvl w:val="0"/>
          <w:numId w:val="0"/>
        </w:numPr>
      </w:pPr>
      <w:r>
        <w:t>Any request for clarification must be made in writing, by e-mail to ipabgsr@ninet.rs, quoting the publication reference and the contract title. This concerns requests for clarification about the contract notice and requests for clarification about the content of this document (“Additional information about the contract notice”). Requests for clarification must reach the contracting authority at the latest 21 days before the deadline for submission of tenders.</w:t>
      </w:r>
    </w:p>
    <w:p>
      <w:pPr>
        <w:pStyle w:val="PRAGHeading2"/>
        <w:numPr>
          <w:ilvl w:val="0"/>
          <w:numId w:val="0"/>
        </w:numPr>
      </w:pPr>
      <w:r>
        <w:t>Clarifications will be published at the latest 8 days before the deadline for submission of tenders on the website of the (Interreg VI-A) IPA Bulgaria-Serbia programme (https://ipa-bgrs.mrrb.bg) and, in parallel, on the website of the contracting authority (https://ninet.rs/ipa-bulgaria-serbia).</w:t>
      </w:r>
    </w:p>
    <w:p>
      <w:pPr>
        <w:pStyle w:val="PRAGHeading2"/>
        <w:numPr>
          <w:ilvl w:val="0"/>
          <w:numId w:val="0"/>
        </w:numPr>
      </w:pPr>
      <w:r>
        <w:t>With a clarification, the contracting authority cannot give an opinion on the assessment of a tender.</w:t>
      </w:r>
    </w:p>
    <w:p>
      <w:pPr>
        <w:pStyle w:val="PRAGHeading2"/>
      </w:pPr>
      <w:r>
        <w:rPr>
          <w:b/>
        </w:rPr>
        <w:t>Outcome of the evaluation</w:t>
      </w:r>
    </w:p>
    <w:p>
      <w:pPr>
        <w:pStyle w:val="PRAGHeading2"/>
        <w:numPr>
          <w:ilvl w:val="0"/>
          <w:numId w:val="0"/>
        </w:numPr>
      </w:pPr>
      <w:r>
        <w:t>By submitting a tender, tenderers accept to receive notification of the outcome of the procedure by electronic means. Such notification shall be deemed to have been received on the date upon which the contracting authority sends it to the electronic address referred to in the tender submission form. It is the tenderer's responsibility to provide a valid e-mail address and to check it regularly.</w:t>
      </w:r>
    </w:p>
    <w:p>
      <w:pPr>
        <w:pStyle w:val="PRAGHeading2"/>
      </w:pPr>
      <w:r>
        <w:rPr>
          <w:b/>
        </w:rPr>
        <w:t>Alteration or withdrawal of tenders</w:t>
      </w:r>
    </w:p>
    <w:p>
      <w:pPr>
        <w:pStyle w:val="PRAGHeading2"/>
        <w:numPr>
          <w:ilvl w:val="0"/>
          <w:numId w:val="0"/>
        </w:numPr>
      </w:pPr>
      <w:r>
        <w:t>Tenderers may alter or withdraw their tenders by written notification prior to the deadline for submission of tenders. No tender may be altered after this deadline.</w:t>
      </w:r>
    </w:p>
    <w:p>
      <w:pPr>
        <w:pStyle w:val="PRAGHeading2"/>
        <w:numPr>
          <w:ilvl w:val="0"/>
          <w:numId w:val="0"/>
        </w:numPr>
      </w:pPr>
      <w:r>
        <w:t>Any such notification of alteration or withdrawal shall be prepared and submitted in accordance with the preceding items. The outer envelope (and the relevant inner envelope, if used) must be marked ‘Alteration’ or ‘Withdrawal’ as appropriate.</w:t>
      </w:r>
    </w:p>
    <w:p>
      <w:pPr/>
    </w:p>
    <w:p>
      <w:pPr>
        <w:jc w:val="center"/>
      </w:pPr>
      <w:r>
        <w:t>***</w:t>
      </w:r>
    </w:p>
    <w:p>
      <w:r>
        <w:br w:type="page"/>
      </w:r>
    </w:p>
    <w:sectPr w:rsidR="00EA0609" w:rsidRPr="00EA0609" w:rsidSect="00C3074F">
      <w:footerReference w:type="default" r:id="rId14"/>
      <w:headerReference w:type="default" r:id="rId20"/>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9FFD9" w14:textId="77777777" w:rsidR="003335AD" w:rsidRDefault="003335AD" w:rsidP="000A4362">
      <w:pPr>
        <w:spacing w:before="0" w:after="0"/>
      </w:pPr>
      <w:r>
        <w:separator/>
      </w:r>
    </w:p>
  </w:endnote>
  <w:endnote w:type="continuationSeparator" w:id="0">
    <w:p w14:paraId="78248E8F" w14:textId="77777777" w:rsidR="003335AD" w:rsidRDefault="003335AD"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8C86E" w14:textId="03CA29F6" w:rsidR="00676F1B" w:rsidRPr="00C3074F" w:rsidRDefault="00EC4862" w:rsidP="00985673">
    <w:pPr>
      <w:pStyle w:val="Footer"/>
      <w:tabs>
        <w:tab w:val="clear" w:pos="4536"/>
      </w:tabs>
      <w:rPr>
        <w:b/>
        <w:sz w:val="18"/>
        <w:szCs w:val="18"/>
        <w:lang w:val="en-IE"/>
      </w:rPr>
    </w:pPr>
    <w:r w:rsidRPr="00C3074F">
      <w:rPr>
        <w:b/>
        <w:sz w:val="18"/>
        <w:szCs w:val="18"/>
        <w:lang w:val="en-IE"/>
      </w:rPr>
      <w:t>202</w:t>
    </w:r>
    <w:r w:rsidR="00A46AA1">
      <w:rPr>
        <w:b/>
        <w:sz w:val="18"/>
        <w:szCs w:val="18"/>
        <w:lang w:val="en-IE"/>
      </w:rPr>
      <w:t>5</w:t>
    </w:r>
    <w:r w:rsidR="0000449F" w:rsidRPr="00C3074F">
      <w:rPr>
        <w:bCs/>
        <w:sz w:val="18"/>
        <w:szCs w:val="18"/>
        <w:lang w:val="en-IE"/>
      </w:rPr>
      <w:tab/>
      <w:t xml:space="preserve">Page </w:t>
    </w:r>
    <w:r w:rsidR="0000449F" w:rsidRPr="009C608B">
      <w:rPr>
        <w:bCs/>
        <w:sz w:val="18"/>
        <w:szCs w:val="18"/>
        <w:lang w:val="en-GB"/>
      </w:rPr>
      <w:fldChar w:fldCharType="begin"/>
    </w:r>
    <w:r w:rsidR="0000449F" w:rsidRPr="009C608B">
      <w:rPr>
        <w:bCs/>
        <w:sz w:val="18"/>
        <w:szCs w:val="18"/>
        <w:lang w:val="en-GB"/>
      </w:rPr>
      <w:instrText xml:space="preserve"> PAGE   \* MERGEFORMAT </w:instrText>
    </w:r>
    <w:r w:rsidR="0000449F" w:rsidRPr="009C608B">
      <w:rPr>
        <w:bCs/>
        <w:sz w:val="18"/>
        <w:szCs w:val="18"/>
        <w:lang w:val="en-GB"/>
      </w:rPr>
      <w:fldChar w:fldCharType="separate"/>
    </w:r>
    <w:r w:rsidR="0000449F">
      <w:rPr>
        <w:bCs/>
        <w:sz w:val="18"/>
        <w:szCs w:val="18"/>
        <w:lang w:val="en-GB"/>
      </w:rPr>
      <w:t>1</w:t>
    </w:r>
    <w:r w:rsidR="0000449F" w:rsidRPr="009C608B">
      <w:rPr>
        <w:bCs/>
        <w:noProof/>
        <w:sz w:val="18"/>
        <w:szCs w:val="18"/>
        <w:lang w:val="en-GB"/>
      </w:rPr>
      <w:fldChar w:fldCharType="end"/>
    </w:r>
    <w:r w:rsidR="0000449F" w:rsidRPr="009C608B">
      <w:rPr>
        <w:bCs/>
        <w:noProof/>
        <w:sz w:val="18"/>
        <w:szCs w:val="18"/>
        <w:lang w:val="en-GB"/>
      </w:rPr>
      <w:t xml:space="preserve"> of </w:t>
    </w:r>
    <w:r w:rsidR="0000449F" w:rsidRPr="009C608B">
      <w:rPr>
        <w:bCs/>
        <w:noProof/>
        <w:sz w:val="18"/>
        <w:szCs w:val="18"/>
        <w:lang w:val="en-GB"/>
      </w:rPr>
      <w:fldChar w:fldCharType="begin"/>
    </w:r>
    <w:r w:rsidR="0000449F" w:rsidRPr="009C608B">
      <w:rPr>
        <w:bCs/>
        <w:noProof/>
        <w:sz w:val="18"/>
        <w:szCs w:val="18"/>
        <w:lang w:val="en-GB"/>
      </w:rPr>
      <w:instrText xml:space="preserve"> NUMPAGES   \* MERGEFORMAT </w:instrText>
    </w:r>
    <w:r w:rsidR="0000449F" w:rsidRPr="009C608B">
      <w:rPr>
        <w:bCs/>
        <w:noProof/>
        <w:sz w:val="18"/>
        <w:szCs w:val="18"/>
        <w:lang w:val="en-GB"/>
      </w:rPr>
      <w:fldChar w:fldCharType="separate"/>
    </w:r>
    <w:r w:rsidR="0000449F">
      <w:rPr>
        <w:bCs/>
        <w:noProof/>
        <w:sz w:val="18"/>
        <w:szCs w:val="18"/>
        <w:lang w:val="en-GB"/>
      </w:rPr>
      <w:t>20</w:t>
    </w:r>
    <w:r w:rsidR="0000449F" w:rsidRPr="009C608B">
      <w:rPr>
        <w:bCs/>
        <w:noProof/>
        <w:sz w:val="18"/>
        <w:szCs w:val="18"/>
        <w:lang w:val="en-GB"/>
      </w:rPr>
      <w:fldChar w:fldCharType="end"/>
    </w:r>
  </w:p>
  <w:p w14:paraId="2545F9B3" w14:textId="6ADC099A" w:rsidR="003335AD" w:rsidRPr="009C608B" w:rsidRDefault="009C608B" w:rsidP="00985673">
    <w:pPr>
      <w:pStyle w:val="Footer"/>
      <w:tabs>
        <w:tab w:val="clear" w:pos="4536"/>
      </w:tabs>
      <w:rPr>
        <w:bCs/>
        <w:sz w:val="18"/>
        <w:szCs w:val="18"/>
        <w:lang w:val="en-GB"/>
      </w:rPr>
    </w:pPr>
    <w:r w:rsidRPr="00985673">
      <w:rPr>
        <w:bCs/>
        <w:sz w:val="18"/>
        <w:szCs w:val="18"/>
        <w:lang w:val="fr-BE"/>
      </w:rPr>
      <w:fldChar w:fldCharType="begin"/>
    </w:r>
    <w:r w:rsidRPr="00C3074F">
      <w:rPr>
        <w:bCs/>
        <w:sz w:val="18"/>
        <w:szCs w:val="18"/>
        <w:lang w:val="en-IE"/>
      </w:rPr>
      <w:instrText xml:space="preserve"> FILENAME   \* MERGEFORMAT </w:instrText>
    </w:r>
    <w:r w:rsidRPr="00985673">
      <w:rPr>
        <w:bCs/>
        <w:sz w:val="18"/>
        <w:szCs w:val="18"/>
        <w:lang w:val="fr-BE"/>
      </w:rPr>
      <w:fldChar w:fldCharType="separate"/>
    </w:r>
    <w:r w:rsidR="00C3074F" w:rsidRPr="00C3074F">
      <w:rPr>
        <w:bCs/>
        <w:noProof/>
        <w:sz w:val="18"/>
        <w:szCs w:val="18"/>
        <w:lang w:val="en-IE"/>
      </w:rPr>
      <w:t>a5f_additional_information_contract_notice_en.docx</w:t>
    </w:r>
    <w:r w:rsidRPr="00985673">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D75B3" w14:textId="77777777" w:rsidR="003335AD" w:rsidRDefault="003335AD" w:rsidP="000A4362">
      <w:pPr>
        <w:spacing w:before="0" w:after="0"/>
      </w:pPr>
      <w:r>
        <w:separator/>
      </w:r>
    </w:p>
  </w:footnote>
  <w:footnote w:type="continuationSeparator" w:id="0">
    <w:p w14:paraId="5686B8D5" w14:textId="77777777" w:rsidR="003335AD" w:rsidRDefault="003335AD" w:rsidP="000A4362">
      <w:pPr>
        <w:spacing w:before="0" w:after="0"/>
      </w:pPr>
      <w:r>
        <w:continuationSeparator/>
      </w:r>
    </w:p>
  </w:footnote>
  <w:footnote w:id="1">
    <w:p w14:paraId="6EC38EBB" w14:textId="50546E2A" w:rsidR="0027737F" w:rsidRPr="0027737F" w:rsidRDefault="0027737F" w:rsidP="00C3074F">
      <w:pPr>
        <w:pStyle w:val="FootnoteText"/>
        <w:spacing w:after="80"/>
        <w:ind w:left="142" w:hanging="142"/>
        <w:jc w:val="both"/>
      </w:pPr>
      <w:r>
        <w:rPr>
          <w:rStyle w:val="FootnoteReference"/>
        </w:rPr>
        <w:footnoteRef/>
      </w:r>
      <w:r w:rsidR="00676F1B">
        <w:tab/>
      </w:r>
      <w:r w:rsidR="00556E61">
        <w:rPr>
          <w:lang w:val="en-GB"/>
        </w:rPr>
        <w:t xml:space="preserve">Council Decision (EU) 2021/1764 of 5 October </w:t>
      </w:r>
      <w:r w:rsidR="00F72408">
        <w:rPr>
          <w:lang w:val="en-GB"/>
        </w:rPr>
        <w:t xml:space="preserve">2021 </w:t>
      </w:r>
      <w:r w:rsidR="00556E61">
        <w:rPr>
          <w:lang w:val="en-GB"/>
        </w:rPr>
        <w:t xml:space="preserve">on the association of the Overseas Countries and Territories with the European Union including relations between the European Union on the one hand, and the Greenland and the </w:t>
      </w:r>
      <w:r w:rsidR="00F72408">
        <w:rPr>
          <w:lang w:val="en-GB"/>
        </w:rPr>
        <w:t>Kingdom</w:t>
      </w:r>
      <w:r w:rsidR="00556E61">
        <w:rPr>
          <w:lang w:val="en-GB"/>
        </w:rPr>
        <w:t xml:space="preserve"> of Denmark on the other (Decision on the Overseas Association, including Greenland); OJ L 355, 7.10.2021, p. 6</w:t>
      </w:r>
      <w:r>
        <w:rPr>
          <w:lang w:val="en-GB"/>
        </w:rPr>
        <w:t>.</w:t>
      </w:r>
    </w:p>
  </w:footnote>
  <w:footnote w:id="2">
    <w:p w14:paraId="0075B6C9" w14:textId="42F7B4C3" w:rsidR="003335AD" w:rsidRPr="003D2CB4" w:rsidRDefault="003335AD" w:rsidP="00C3074F">
      <w:pPr>
        <w:pStyle w:val="FootnoteText"/>
        <w:spacing w:after="80"/>
        <w:ind w:left="142" w:hanging="142"/>
        <w:jc w:val="both"/>
      </w:pPr>
      <w:r>
        <w:rPr>
          <w:rStyle w:val="FootnoteReference"/>
        </w:rPr>
        <w:footnoteRef/>
      </w:r>
      <w:r w:rsidR="00676F1B">
        <w:tab/>
      </w:r>
      <w:r w:rsidRPr="003D2CB4">
        <w:t xml:space="preserve">Regulation (EU) 2021/947 of the European Parliament and of the Council of 9 June 2021 establishing the </w:t>
      </w:r>
      <w:r w:rsidRPr="00093F3D">
        <w:rPr>
          <w:lang w:val="en-GB"/>
        </w:rPr>
        <w:t>Neighbourhood</w:t>
      </w:r>
      <w:r w:rsidRPr="003D2CB4">
        <w:t>, Development and International Cooperation Instrument – Global Europe, amending and repealing Decision No 466/2014/EU and repealing Regulation (EU) 2017/1601 and Council Regulation (EC, Euratom) No 480/2009; OJ L 209, 14.6.2021, p. 1.</w:t>
      </w:r>
    </w:p>
  </w:footnote>
  <w:footnote w:id="3">
    <w:p w14:paraId="3E6777E3" w14:textId="77A9EC52" w:rsidR="003335AD" w:rsidRPr="003D2CB4" w:rsidRDefault="003335AD" w:rsidP="00C3074F">
      <w:pPr>
        <w:pStyle w:val="FootnoteText"/>
        <w:spacing w:after="80"/>
        <w:ind w:left="142" w:hanging="142"/>
        <w:jc w:val="both"/>
      </w:pPr>
      <w:r>
        <w:rPr>
          <w:rStyle w:val="FootnoteReference"/>
        </w:rPr>
        <w:footnoteRef/>
      </w:r>
      <w:r w:rsidR="00676F1B">
        <w:tab/>
      </w:r>
      <w:r w:rsidRPr="003D2CB4">
        <w:t xml:space="preserve">Council Regulation (Euratom) 2021/948 of 27 May 2021 establishing a European Instrument for International Nuclear Safety Cooperation complementing the </w:t>
      </w:r>
      <w:proofErr w:type="spellStart"/>
      <w:r w:rsidRPr="003D2CB4">
        <w:t>Neighbourhood</w:t>
      </w:r>
      <w:proofErr w:type="spellEnd"/>
      <w:r w:rsidRPr="003D2CB4">
        <w:t>, Development and International Cooperation Instrument – Global Europe on the basis of the Treaty establishing the European Atomic Energy Community, and repealing Regulation (Euratom) No 237/2014; OJ L 209, 14.6.2021, p. 79.</w:t>
      </w:r>
    </w:p>
  </w:footnote>
  <w:footnote w:id="4">
    <w:p w14:paraId="6F041289" w14:textId="1395CAD2" w:rsidR="0027737F" w:rsidRPr="0027737F" w:rsidRDefault="0027737F" w:rsidP="00C3074F">
      <w:pPr>
        <w:pStyle w:val="FootnoteText"/>
        <w:ind w:left="142" w:hanging="142"/>
        <w:jc w:val="both"/>
      </w:pPr>
      <w:r>
        <w:rPr>
          <w:rStyle w:val="FootnoteReference"/>
        </w:rPr>
        <w:footnoteRef/>
      </w:r>
      <w:r w:rsidR="003C7F27">
        <w:tab/>
      </w:r>
      <w:r w:rsidR="00567635">
        <w:t>Regulation (EU) 2021/1529 of the European Parliament and of the Council of 15 September 2021 establishing the Instrument for Pre-Accession assistance (IPA III)</w:t>
      </w:r>
      <w:r w:rsidR="00F72408">
        <w:t>; OJ L 330, 20.9.2021, p. 1</w:t>
      </w:r>
      <w:r>
        <w:rPr>
          <w:lang w:val="en-GB"/>
        </w:rPr>
        <w:t>.</w:t>
      </w:r>
    </w:p>
  </w:footnote>
  <w:footnote w:id="5">
    <w:p w14:paraId="27D2015D" w14:textId="749287EB" w:rsidR="004D2B6B" w:rsidRPr="0010153E" w:rsidRDefault="004D2B6B" w:rsidP="00C3074F">
      <w:pPr>
        <w:pStyle w:val="FootnoteText"/>
        <w:ind w:left="142" w:hanging="142"/>
      </w:pPr>
      <w:r>
        <w:rPr>
          <w:rStyle w:val="FootnoteReference"/>
        </w:rPr>
        <w:footnoteRef/>
      </w:r>
      <w:r w:rsidR="003C7F27">
        <w:tab/>
      </w:r>
      <w:r w:rsidRPr="0010153E">
        <w:t xml:space="preserve">Regulation (EU) 2024/792 of the European Parliament and of the Council of 29 February 2024 establishing the Ukraine Facility (OJ L, 2024/792, 29.02.2024, ELI: </w:t>
      </w:r>
      <w:hyperlink r:id="rId1" w:history="1">
        <w:r w:rsidR="003C7F27" w:rsidRPr="00FB44F4">
          <w:rPr>
            <w:rStyle w:val="Hyperlink"/>
          </w:rPr>
          <w:t>http://data.europa.eu/eli/reg/2024/792/oj</w:t>
        </w:r>
      </w:hyperlink>
      <w:r w:rsidRPr="0010153E">
        <w:t>).</w:t>
      </w:r>
    </w:p>
  </w:footnote>
  <w:footnote w:id="6">
    <w:p w14:paraId="36D5742D" w14:textId="388248EF" w:rsidR="003335AD" w:rsidRPr="001109B5" w:rsidRDefault="003335AD" w:rsidP="00C3074F">
      <w:pPr>
        <w:pStyle w:val="FootnoteText"/>
        <w:ind w:left="142" w:hanging="142"/>
      </w:pPr>
      <w:r>
        <w:rPr>
          <w:rStyle w:val="FootnoteReference"/>
        </w:rPr>
        <w:footnoteRef/>
      </w:r>
      <w:r w:rsidR="003C7F27">
        <w:rPr>
          <w:lang w:val="en-GB"/>
        </w:rPr>
        <w:tab/>
      </w:r>
      <w:r w:rsidRPr="00E67DA7">
        <w:rPr>
          <w:lang w:val="en-GB"/>
        </w:rPr>
        <w:t xml:space="preserve">Regulation (EU) No </w:t>
      </w:r>
      <w:r w:rsidR="00E95D8E" w:rsidRPr="00E67DA7">
        <w:rPr>
          <w:lang w:val="en-GB"/>
        </w:rPr>
        <w:t>2</w:t>
      </w:r>
      <w:r w:rsidR="00577C5E">
        <w:rPr>
          <w:lang w:val="en-GB"/>
        </w:rPr>
        <w:t>230</w:t>
      </w:r>
      <w:r w:rsidRPr="00E67DA7">
        <w:rPr>
          <w:lang w:val="en-GB"/>
        </w:rPr>
        <w:t xml:space="preserve">/2014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7">
    <w:p w14:paraId="35D6B37F" w14:textId="7934C0C1" w:rsidR="003335AD" w:rsidRPr="001109B5" w:rsidRDefault="003335AD" w:rsidP="00C3074F">
      <w:pPr>
        <w:pStyle w:val="FootnoteText"/>
        <w:ind w:left="142" w:hanging="142"/>
      </w:pPr>
      <w:r w:rsidRPr="00CC0B7A">
        <w:rPr>
          <w:rStyle w:val="FootnoteReference"/>
        </w:rPr>
        <w:footnoteRef/>
      </w:r>
      <w:r w:rsidR="003C7F27">
        <w:rPr>
          <w:lang w:val="en-GB"/>
        </w:rPr>
        <w:tab/>
      </w:r>
      <w:r w:rsidRPr="006C1625">
        <w:rPr>
          <w:rStyle w:val="FootnoteTextChar"/>
          <w:lang w:val="en-GB"/>
        </w:rPr>
        <w:t>Article 11 CIR.</w:t>
      </w:r>
      <w:r w:rsidRPr="006C1625">
        <w:rPr>
          <w:lang w:val="en-GB"/>
        </w:rPr>
        <w:t xml:space="preserve"> </w:t>
      </w:r>
    </w:p>
  </w:footnote>
  <w:footnote w:id="8">
    <w:p w14:paraId="41FB4B3E" w14:textId="77D39456" w:rsidR="00D831C6" w:rsidRPr="00D831C6" w:rsidRDefault="00D831C6" w:rsidP="00C3074F">
      <w:pPr>
        <w:pStyle w:val="FootnoteText"/>
        <w:ind w:left="284" w:hanging="284"/>
        <w:jc w:val="both"/>
      </w:pPr>
      <w:r>
        <w:rPr>
          <w:rStyle w:val="FootnoteReference"/>
        </w:rPr>
        <w:footnoteRef/>
      </w:r>
      <w:r w:rsidR="003C7F27">
        <w:tab/>
      </w:r>
      <w:r w:rsidRPr="00C3074F">
        <w:rPr>
          <w:sz w:val="18"/>
          <w:szCs w:val="18"/>
        </w:rPr>
        <w:t>Please note that the EU Official Journal contains the official list of entities subject to restrictive measures and, in case of conflict, it prevails over the list of the </w:t>
      </w:r>
      <w:hyperlink r:id="rId2" w:anchor="/main" w:tgtFrame="_blank" w:history="1">
        <w:r w:rsidRPr="00C3074F">
          <w:rPr>
            <w:rStyle w:val="Hyperlink"/>
            <w:color w:val="0070C0"/>
            <w:sz w:val="18"/>
            <w:szCs w:val="18"/>
          </w:rPr>
          <w:t>EU Sanctions Map</w:t>
        </w:r>
      </w:hyperlink>
      <w:r w:rsidRPr="00C3074F">
        <w:rPr>
          <w:sz w:val="18"/>
          <w:szCs w:val="18"/>
        </w:rPr>
        <w:t>.</w:t>
      </w:r>
    </w:p>
  </w:footnote>
  <w:footnote w:id="9">
    <w:p w14:paraId="250DC956" w14:textId="41D14B97" w:rsidR="00497CB6" w:rsidRPr="00023B90" w:rsidRDefault="00497CB6" w:rsidP="00023B90">
      <w:pPr>
        <w:pStyle w:val="FootnoteText"/>
        <w:ind w:left="284" w:hanging="284"/>
        <w:jc w:val="both"/>
        <w:rPr>
          <w:lang w:val="en-GB"/>
        </w:rPr>
      </w:pPr>
      <w:r w:rsidRPr="009646D7">
        <w:rPr>
          <w:rStyle w:val="FootnoteReference"/>
        </w:rPr>
        <w:footnoteRef/>
      </w:r>
      <w:r w:rsidRPr="00023B90">
        <w:rPr>
          <w:rStyle w:val="FootnoteReference"/>
          <w:vertAlign w:val="baseline"/>
        </w:rPr>
        <w:t xml:space="preserve"> </w:t>
      </w:r>
      <w:r>
        <w:tab/>
      </w:r>
      <w:r w:rsidRPr="00023B90">
        <w:rPr>
          <w:rStyle w:val="FootnoteReference"/>
          <w:vertAlign w:val="baseline"/>
        </w:rPr>
        <w:t xml:space="preserve">Not for IPA financed contracts and award procedures financed under the imprest component of a </w:t>
      </w:r>
      <w:proofErr w:type="spellStart"/>
      <w:r w:rsidRPr="00023B90">
        <w:rPr>
          <w:rStyle w:val="FootnoteReference"/>
          <w:vertAlign w:val="baseline"/>
        </w:rPr>
        <w:t>programme</w:t>
      </w:r>
      <w:proofErr w:type="spellEnd"/>
      <w:r w:rsidRPr="00023B90">
        <w:rPr>
          <w:rStyle w:val="FootnoteReference"/>
          <w:vertAlign w:val="baseline"/>
        </w:rPr>
        <w:t xml:space="preserve"> estimate.</w:t>
      </w:r>
    </w:p>
  </w:footnote>
  <w:footnote w:id="10">
    <w:p w14:paraId="630CA6B5" w14:textId="0AEE9A8F" w:rsidR="003335AD" w:rsidRPr="00163B0D" w:rsidRDefault="003335AD" w:rsidP="00C3074F">
      <w:pPr>
        <w:pStyle w:val="FootnoteText"/>
        <w:ind w:left="284" w:hanging="284"/>
      </w:pPr>
      <w:r>
        <w:rPr>
          <w:rStyle w:val="FootnoteReference"/>
        </w:rPr>
        <w:footnoteRef/>
      </w:r>
      <w:r w:rsidR="00AA2AC2">
        <w:tab/>
      </w:r>
      <w:bookmarkStart w:id="13" w:name="_Hlk184846414"/>
      <w:r w:rsidR="00165E8A">
        <w:fldChar w:fldCharType="begin"/>
      </w:r>
      <w:r w:rsidR="00165E8A">
        <w:instrText>HYPERLINK "https://ec.europa.eu/info/funding-tenders/opportunities/portal/screen/home"</w:instrText>
      </w:r>
      <w:r w:rsidR="00165E8A">
        <w:fldChar w:fldCharType="separate"/>
      </w:r>
      <w:r w:rsidR="00AA2AC2" w:rsidRPr="00AA2AC2">
        <w:rPr>
          <w:rStyle w:val="Hyperlink"/>
          <w:iCs/>
          <w:lang w:val="en-GB"/>
        </w:rPr>
        <w:t>https://ec.europa.eu/info/funding-tenders/opportunities/portal/screen/home</w:t>
      </w:r>
      <w:r w:rsidR="00165E8A">
        <w:rPr>
          <w:rStyle w:val="Hyperlink"/>
          <w:iCs/>
          <w:lang w:val="en-GB"/>
        </w:rPr>
        <w:fldChar w:fldCharType="end"/>
      </w:r>
    </w:p>
    <w:bookmarkEnd w:id="13"/>
  </w:footnote>
  <w:footnote w:id="11">
    <w:p w14:paraId="04E2917F" w14:textId="119E17FF" w:rsidR="003335AD" w:rsidRPr="00507A3A" w:rsidRDefault="003335AD" w:rsidP="00C3074F">
      <w:pPr>
        <w:pStyle w:val="FootnoteText"/>
        <w:ind w:left="284" w:hanging="284"/>
        <w:jc w:val="both"/>
        <w:rPr>
          <w:lang w:val="en-GB"/>
        </w:rPr>
      </w:pPr>
      <w:r>
        <w:rPr>
          <w:rStyle w:val="FootnoteReference"/>
        </w:rPr>
        <w:footnoteRef/>
      </w:r>
      <w:r w:rsidR="00342493">
        <w:rPr>
          <w:lang w:val="en-GB"/>
        </w:rPr>
        <w:tab/>
      </w:r>
      <w:r>
        <w:rPr>
          <w:lang w:val="en-GB"/>
        </w:rPr>
        <w:t xml:space="preserve">If no submission receipt is received in reasonable time after submission, </w:t>
      </w:r>
      <w:r w:rsidRPr="009C44C4">
        <w:rPr>
          <w:lang w:val="en-GB"/>
        </w:rPr>
        <w:t xml:space="preserve">please contact the eSubmission Helpdesk </w:t>
      </w:r>
      <w:r w:rsidRPr="002E1BBF">
        <w:rPr>
          <w:lang w:val="en-GB"/>
        </w:rPr>
        <w:t xml:space="preserve">(see contact details in the above referred </w:t>
      </w:r>
      <w:r>
        <w:rPr>
          <w:lang w:val="en-GB"/>
        </w:rPr>
        <w:t xml:space="preserve">eSubmission </w:t>
      </w:r>
      <w:r w:rsidRPr="002E1BBF">
        <w:rPr>
          <w:lang w:val="en-GB"/>
        </w:rPr>
        <w:t>Quick Guide)</w:t>
      </w:r>
      <w:r>
        <w:rPr>
          <w:lang w:val="en-GB"/>
        </w:rPr>
        <w:t xml:space="preserve"> as </w:t>
      </w:r>
      <w:r w:rsidRPr="009C44C4">
        <w:rPr>
          <w:lang w:val="en-GB"/>
        </w:rPr>
        <w:t>soon as possible</w:t>
      </w:r>
      <w:r>
        <w:rPr>
          <w:lang w:val="en-GB"/>
        </w:rPr>
        <w:t>.</w:t>
      </w:r>
    </w:p>
  </w:footnote>
  <w:footnote w:id="12">
    <w:p w14:paraId="02F462C6" w14:textId="790B3D3E" w:rsidR="003335AD" w:rsidRPr="00C66BF3" w:rsidRDefault="003335AD" w:rsidP="00C3074F">
      <w:pPr>
        <w:pStyle w:val="FootnoteText"/>
        <w:ind w:left="284" w:hanging="284"/>
        <w:jc w:val="both"/>
      </w:pPr>
      <w:r>
        <w:rPr>
          <w:rStyle w:val="FootnoteReference"/>
        </w:rPr>
        <w:footnoteRef/>
      </w:r>
      <w:r w:rsidR="00342493">
        <w:tab/>
      </w:r>
      <w:r w:rsidRPr="00C66BF3">
        <w:t>It is recommended to use registered mail in case the postmark would not be readable</w:t>
      </w:r>
      <w:r>
        <w:t>.</w:t>
      </w:r>
    </w:p>
  </w:footnote>
  <w:footnote w:id="13">
    <w:p w14:paraId="747DEACB" w14:textId="3F3968C9" w:rsidR="003335AD" w:rsidRPr="002D6A62" w:rsidRDefault="003335AD" w:rsidP="00C3074F">
      <w:pPr>
        <w:pStyle w:val="FootnoteText"/>
        <w:ind w:left="284" w:hanging="284"/>
        <w:jc w:val="both"/>
      </w:pPr>
      <w:r>
        <w:rPr>
          <w:rStyle w:val="FootnoteReference"/>
        </w:rPr>
        <w:footnoteRef/>
      </w:r>
      <w:r w:rsidR="00342493">
        <w:tab/>
      </w:r>
      <w:hyperlink r:id="rId3" w:history="1">
        <w:r w:rsidR="00342493" w:rsidRPr="00342493">
          <w:rPr>
            <w:rStyle w:val="Hyperlink"/>
            <w:iCs/>
            <w:lang w:val="en-GB"/>
          </w:rPr>
          <w:t>https://ec.europa.eu/info/funding-tenders/opportunities/portal/screen/home</w:t>
        </w:r>
      </w:hyperlink>
    </w:p>
  </w:footnote>
  <w:footnote w:id="14">
    <w:p w14:paraId="1DA555AD" w14:textId="7A0137BE" w:rsidR="003335AD" w:rsidRPr="00F223EA" w:rsidRDefault="003335AD" w:rsidP="00C3074F">
      <w:pPr>
        <w:pStyle w:val="FootnoteText"/>
        <w:ind w:left="284" w:hanging="284"/>
        <w:jc w:val="both"/>
      </w:pPr>
      <w:r>
        <w:rPr>
          <w:rStyle w:val="FootnoteReference"/>
        </w:rPr>
        <w:footnoteRef/>
      </w:r>
      <w:r w:rsidR="00342493">
        <w:tab/>
      </w:r>
      <w:r>
        <w:t>For detailed instructions on how to submit a request to participate or tender, please consult the eSubmission Quick Guide available at:</w:t>
      </w:r>
      <w:r w:rsidR="00F067C1">
        <w:t xml:space="preserve"> </w:t>
      </w:r>
      <w:hyperlink r:id="rId4" w:history="1">
        <w:r w:rsidR="001E0745" w:rsidRPr="00C761E9">
          <w:rPr>
            <w:rStyle w:val="Hyperlink"/>
          </w:rPr>
          <w:t>https://wikis.ec.europa.eu/display/FTPortal/Quick+guides+eSubmission</w:t>
        </w:r>
      </w:hyperlink>
      <w:r w:rsidR="001E0745">
        <w:t xml:space="preserve"> </w:t>
      </w:r>
      <w:r w:rsidR="00F067C1">
        <w:t xml:space="preserve"> </w:t>
      </w:r>
      <w:r>
        <w:t xml:space="preserve"> </w:t>
      </w:r>
    </w:p>
  </w:footnote>
  <w:footnote w:id="15">
    <w:p w14:paraId="6AD495DA" w14:textId="1BC47A86" w:rsidR="003335AD" w:rsidRPr="00507A3A" w:rsidRDefault="003335AD" w:rsidP="00C3074F">
      <w:pPr>
        <w:pStyle w:val="FootnoteText"/>
        <w:ind w:left="284" w:hanging="284"/>
        <w:jc w:val="both"/>
        <w:rPr>
          <w:lang w:val="en-GB"/>
        </w:rPr>
      </w:pPr>
      <w:r>
        <w:rPr>
          <w:rStyle w:val="FootnoteReference"/>
        </w:rPr>
        <w:footnoteRef/>
      </w:r>
      <w:r w:rsidR="00342493">
        <w:rPr>
          <w:lang w:val="en-GB"/>
        </w:rPr>
        <w:tab/>
      </w:r>
      <w:r w:rsidRPr="00704DD9">
        <w:rPr>
          <w:lang w:val="en-GB"/>
        </w:rPr>
        <w:t xml:space="preserve">A submitted </w:t>
      </w:r>
      <w:r>
        <w:rPr>
          <w:lang w:val="en-GB"/>
        </w:rPr>
        <w:t>request to participate</w:t>
      </w:r>
      <w:r w:rsidRPr="00704DD9">
        <w:rPr>
          <w:lang w:val="en-GB"/>
        </w:rPr>
        <w:t xml:space="preserve"> can be withdrawn directly in the "</w:t>
      </w:r>
      <w:r>
        <w:rPr>
          <w:lang w:val="en-GB"/>
        </w:rPr>
        <w:t>Procurement/</w:t>
      </w:r>
      <w:r w:rsidRPr="00704DD9">
        <w:rPr>
          <w:lang w:val="en-GB"/>
        </w:rPr>
        <w:t xml:space="preserve">My </w:t>
      </w:r>
      <w:r>
        <w:rPr>
          <w:lang w:val="en-GB"/>
        </w:rPr>
        <w:t>Submission(s)</w:t>
      </w:r>
      <w:r w:rsidRPr="00704DD9">
        <w:rPr>
          <w:lang w:val="en-GB"/>
        </w:rPr>
        <w:t xml:space="preserve">" area in the F&amp;T Portal. </w:t>
      </w:r>
      <w:r w:rsidRPr="00507A3A">
        <w:rPr>
          <w:lang w:val="en-GB"/>
        </w:rPr>
        <w:t xml:space="preserve">For detailed instructions on how to </w:t>
      </w:r>
      <w:r>
        <w:rPr>
          <w:lang w:val="en-GB"/>
        </w:rPr>
        <w:t xml:space="preserve">withdraw </w:t>
      </w:r>
      <w:r w:rsidRPr="00507A3A">
        <w:rPr>
          <w:lang w:val="en-GB"/>
        </w:rPr>
        <w:t xml:space="preserve">a </w:t>
      </w:r>
      <w:r>
        <w:rPr>
          <w:lang w:val="en-GB"/>
        </w:rPr>
        <w:t xml:space="preserve">request to participate, </w:t>
      </w:r>
      <w:r w:rsidRPr="00507A3A">
        <w:rPr>
          <w:lang w:val="en-GB"/>
        </w:rPr>
        <w:t xml:space="preserve">please consult the </w:t>
      </w:r>
      <w:r>
        <w:rPr>
          <w:lang w:val="en-GB"/>
        </w:rPr>
        <w:t>above referred eSubmission</w:t>
      </w:r>
      <w:r w:rsidRPr="00507A3A">
        <w:rPr>
          <w:lang w:val="en-GB"/>
        </w:rPr>
        <w:t xml:space="preserve"> Quick Guide.</w:t>
      </w:r>
    </w:p>
  </w:footnote>
  <w:footnote w:id="16">
    <w:p w14:paraId="7885BB63" w14:textId="5B9D1BF4" w:rsidR="003335AD" w:rsidRPr="00507A3A" w:rsidRDefault="003335AD" w:rsidP="00C3074F">
      <w:pPr>
        <w:pStyle w:val="FootnoteText"/>
        <w:ind w:left="284" w:hanging="284"/>
        <w:jc w:val="both"/>
        <w:rPr>
          <w:lang w:val="en-GB"/>
        </w:rPr>
      </w:pPr>
      <w:r>
        <w:rPr>
          <w:rStyle w:val="FootnoteReference"/>
        </w:rPr>
        <w:footnoteRef/>
      </w:r>
      <w:r w:rsidR="00342493">
        <w:rPr>
          <w:lang w:val="en-GB"/>
        </w:rPr>
        <w:tab/>
      </w:r>
      <w:r>
        <w:rPr>
          <w:lang w:val="en-GB"/>
        </w:rPr>
        <w:t xml:space="preserve">To submit a new version, the candidate must create a new submission </w:t>
      </w:r>
      <w:r w:rsidRPr="00914A6F">
        <w:rPr>
          <w:lang w:val="en-GB"/>
        </w:rPr>
        <w:t xml:space="preserve">in </w:t>
      </w:r>
      <w:r>
        <w:rPr>
          <w:lang w:val="en-GB"/>
        </w:rPr>
        <w:t>eSubmission</w:t>
      </w:r>
      <w:r w:rsidRPr="00914A6F">
        <w:rPr>
          <w:lang w:val="en-GB"/>
        </w:rPr>
        <w:t xml:space="preserve"> </w:t>
      </w:r>
      <w:r>
        <w:rPr>
          <w:lang w:val="en-GB"/>
        </w:rPr>
        <w:t>and include</w:t>
      </w:r>
      <w:r w:rsidRPr="00914A6F">
        <w:rPr>
          <w:lang w:val="en-GB"/>
        </w:rPr>
        <w:t xml:space="preserve"> </w:t>
      </w:r>
      <w:r>
        <w:rPr>
          <w:lang w:val="en-GB"/>
        </w:rPr>
        <w:t xml:space="preserve">all </w:t>
      </w:r>
      <w:r w:rsidRPr="00914A6F">
        <w:rPr>
          <w:lang w:val="en-GB"/>
        </w:rPr>
        <w:t xml:space="preserve">the information and documents </w:t>
      </w:r>
      <w:r>
        <w:rPr>
          <w:lang w:val="en-GB"/>
        </w:rPr>
        <w:t>required in</w:t>
      </w:r>
      <w:r w:rsidRPr="00914A6F">
        <w:rPr>
          <w:lang w:val="en-GB"/>
        </w:rPr>
        <w:t xml:space="preserve"> the </w:t>
      </w:r>
      <w:r>
        <w:rPr>
          <w:lang w:val="en-GB"/>
        </w:rPr>
        <w:t>procurement documents with the submission of a request to participate, even if some of them have already been included in the replaced request to participate.</w:t>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2103120" cy="634362"/>
          <wp:docPr id="1" name="Picture 1"/>
          <wp:cNvGraphicFramePr>
            <a:graphicFrameLocks noChangeAspect="1"/>
          </wp:cNvGraphicFramePr>
          <a:graphic>
            <a:graphicData uri="http://schemas.openxmlformats.org/drawingml/2006/picture">
              <pic:pic>
                <pic:nvPicPr>
                  <pic:cNvPr id="0" name="IPA - Interreg logo BG-RS_3.jpg"/>
                  <pic:cNvPicPr/>
                </pic:nvPicPr>
                <pic:blipFill>
                  <a:blip r:embed="rId1"/>
                  <a:stretch>
                    <a:fillRect/>
                  </a:stretch>
                </pic:blipFill>
                <pic:spPr>
                  <a:xfrm>
                    <a:off x="0" y="0"/>
                    <a:ext cx="2103120" cy="634362"/>
                  </a:xfrm>
                  <a:prstGeom prst="rec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10B27DF"/>
    <w:multiLevelType w:val="hybridMultilevel"/>
    <w:tmpl w:val="B07645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602FA3"/>
    <w:multiLevelType w:val="hybridMultilevel"/>
    <w:tmpl w:val="7C728BF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15:restartNumberingAfterBreak="0">
    <w:nsid w:val="0A377EAC"/>
    <w:multiLevelType w:val="hybridMultilevel"/>
    <w:tmpl w:val="D452FF9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6"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CA70A47"/>
    <w:multiLevelType w:val="singleLevel"/>
    <w:tmpl w:val="04090001"/>
    <w:lvl w:ilvl="0">
      <w:start w:val="1"/>
      <w:numFmt w:val="bullet"/>
      <w:lvlText w:val=""/>
      <w:lvlJc w:val="left"/>
      <w:pPr>
        <w:tabs>
          <w:tab w:val="num" w:pos="1070"/>
        </w:tabs>
        <w:ind w:left="1070" w:hanging="360"/>
      </w:pPr>
      <w:rPr>
        <w:rFonts w:ascii="Symbol" w:hAnsi="Symbol" w:hint="default"/>
      </w:rPr>
    </w:lvl>
  </w:abstractNum>
  <w:abstractNum w:abstractNumId="8"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15:restartNumberingAfterBreak="0">
    <w:nsid w:val="2AE13306"/>
    <w:multiLevelType w:val="hybridMultilevel"/>
    <w:tmpl w:val="40D466EC"/>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B54D60"/>
    <w:multiLevelType w:val="hybridMultilevel"/>
    <w:tmpl w:val="2F8C702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4" w15:restartNumberingAfterBreak="0">
    <w:nsid w:val="328F5612"/>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5"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16"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7"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8" w15:restartNumberingAfterBreak="0">
    <w:nsid w:val="362970D7"/>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1" w15:restartNumberingAfterBreak="0">
    <w:nsid w:val="427E2AA2"/>
    <w:multiLevelType w:val="hybridMultilevel"/>
    <w:tmpl w:val="6F5A3D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2" w15:restartNumberingAfterBreak="0">
    <w:nsid w:val="46CD60F6"/>
    <w:multiLevelType w:val="singleLevel"/>
    <w:tmpl w:val="18090001"/>
    <w:lvl w:ilvl="0">
      <w:start w:val="1"/>
      <w:numFmt w:val="bullet"/>
      <w:lvlText w:val=""/>
      <w:lvlJc w:val="left"/>
      <w:pPr>
        <w:ind w:left="720" w:hanging="360"/>
      </w:pPr>
      <w:rPr>
        <w:rFonts w:ascii="Symbol" w:hAnsi="Symbol" w:hint="default"/>
      </w:rPr>
    </w:lvl>
  </w:abstractNum>
  <w:abstractNum w:abstractNumId="23"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EF551F7"/>
    <w:multiLevelType w:val="hybridMultilevel"/>
    <w:tmpl w:val="8CF8A3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43354112">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1690832501">
    <w:abstractNumId w:val="22"/>
  </w:num>
  <w:num w:numId="3" w16cid:durableId="1455977037">
    <w:abstractNumId w:val="7"/>
  </w:num>
  <w:num w:numId="4" w16cid:durableId="504974431">
    <w:abstractNumId w:val="19"/>
  </w:num>
  <w:num w:numId="5" w16cid:durableId="1465351735">
    <w:abstractNumId w:val="16"/>
  </w:num>
  <w:num w:numId="6" w16cid:durableId="806052362">
    <w:abstractNumId w:val="26"/>
  </w:num>
  <w:num w:numId="7" w16cid:durableId="954017138">
    <w:abstractNumId w:val="6"/>
  </w:num>
  <w:num w:numId="8" w16cid:durableId="1690331847">
    <w:abstractNumId w:val="8"/>
  </w:num>
  <w:num w:numId="9" w16cid:durableId="769155714">
    <w:abstractNumId w:val="27"/>
  </w:num>
  <w:num w:numId="10" w16cid:durableId="60373364">
    <w:abstractNumId w:val="25"/>
  </w:num>
  <w:num w:numId="11" w16cid:durableId="1716930774">
    <w:abstractNumId w:val="17"/>
  </w:num>
  <w:num w:numId="12" w16cid:durableId="139006901">
    <w:abstractNumId w:val="6"/>
  </w:num>
  <w:num w:numId="13" w16cid:durableId="1903565001">
    <w:abstractNumId w:val="28"/>
  </w:num>
  <w:num w:numId="14" w16cid:durableId="178586924">
    <w:abstractNumId w:val="6"/>
    <w:lvlOverride w:ilvl="0">
      <w:startOverride w:val="1"/>
    </w:lvlOverride>
  </w:num>
  <w:num w:numId="15" w16cid:durableId="4799550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44317575">
    <w:abstractNumId w:val="12"/>
  </w:num>
  <w:num w:numId="17" w16cid:durableId="904879965">
    <w:abstractNumId w:val="9"/>
  </w:num>
  <w:num w:numId="18" w16cid:durableId="381246587">
    <w:abstractNumId w:val="24"/>
  </w:num>
  <w:num w:numId="19" w16cid:durableId="769156780">
    <w:abstractNumId w:val="3"/>
  </w:num>
  <w:num w:numId="20" w16cid:durableId="4847784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926497230">
    <w:abstractNumId w:val="23"/>
  </w:num>
  <w:num w:numId="22" w16cid:durableId="1408647735">
    <w:abstractNumId w:val="10"/>
  </w:num>
  <w:num w:numId="23" w16cid:durableId="213082565">
    <w:abstractNumId w:val="18"/>
  </w:num>
  <w:num w:numId="24" w16cid:durableId="1411585383">
    <w:abstractNumId w:val="21"/>
  </w:num>
  <w:num w:numId="25" w16cid:durableId="401175826">
    <w:abstractNumId w:val="4"/>
  </w:num>
  <w:num w:numId="26" w16cid:durableId="1265725792">
    <w:abstractNumId w:val="13"/>
  </w:num>
  <w:num w:numId="27" w16cid:durableId="1678343553">
    <w:abstractNumId w:val="2"/>
  </w:num>
  <w:num w:numId="28" w16cid:durableId="498421674">
    <w:abstractNumId w:val="29"/>
  </w:num>
  <w:num w:numId="29" w16cid:durableId="1786268751">
    <w:abstractNumId w:val="11"/>
  </w:num>
  <w:num w:numId="30" w16cid:durableId="98380398">
    <w:abstractNumId w:val="14"/>
  </w:num>
  <w:num w:numId="31" w16cid:durableId="1134761002">
    <w:abstractNumId w:val="20"/>
  </w:num>
  <w:num w:numId="32" w16cid:durableId="2020809809">
    <w:abstractNumId w:val="5"/>
  </w:num>
  <w:num w:numId="33" w16cid:durableId="20171482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BE" w:vendorID="64" w:dllVersion="0" w:nlCheck="1" w:checkStyle="0"/>
  <w:proofState w:spelling="clean"/>
  <w:defaultTabStop w:val="720"/>
  <w:hyphenationZone w:val="425"/>
  <w:characterSpacingControl w:val="doNotCompress"/>
  <w:hdrShapeDefaults>
    <o:shapedefaults v:ext="edit" spidmax="1556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EA6C7C"/>
    <w:rsid w:val="00000631"/>
    <w:rsid w:val="00001895"/>
    <w:rsid w:val="00003CF3"/>
    <w:rsid w:val="0000449F"/>
    <w:rsid w:val="00004AC5"/>
    <w:rsid w:val="0000521A"/>
    <w:rsid w:val="00005D6E"/>
    <w:rsid w:val="000067BC"/>
    <w:rsid w:val="00011A91"/>
    <w:rsid w:val="00017B82"/>
    <w:rsid w:val="00023A65"/>
    <w:rsid w:val="00023B90"/>
    <w:rsid w:val="0003088D"/>
    <w:rsid w:val="000507A8"/>
    <w:rsid w:val="00051841"/>
    <w:rsid w:val="000557AC"/>
    <w:rsid w:val="00057B45"/>
    <w:rsid w:val="0006275F"/>
    <w:rsid w:val="000637FE"/>
    <w:rsid w:val="000657F4"/>
    <w:rsid w:val="00067296"/>
    <w:rsid w:val="000675D4"/>
    <w:rsid w:val="000735F9"/>
    <w:rsid w:val="00075D67"/>
    <w:rsid w:val="00082B07"/>
    <w:rsid w:val="00082D7C"/>
    <w:rsid w:val="00087791"/>
    <w:rsid w:val="00090EB3"/>
    <w:rsid w:val="00093F3D"/>
    <w:rsid w:val="00095FD2"/>
    <w:rsid w:val="000974B6"/>
    <w:rsid w:val="000977C7"/>
    <w:rsid w:val="0009798E"/>
    <w:rsid w:val="000A13B8"/>
    <w:rsid w:val="000A2341"/>
    <w:rsid w:val="000A3A2E"/>
    <w:rsid w:val="000A4362"/>
    <w:rsid w:val="000A4397"/>
    <w:rsid w:val="000A67FA"/>
    <w:rsid w:val="000B0DB7"/>
    <w:rsid w:val="000C19F5"/>
    <w:rsid w:val="000C263D"/>
    <w:rsid w:val="000C38BA"/>
    <w:rsid w:val="000C49BB"/>
    <w:rsid w:val="000C71C6"/>
    <w:rsid w:val="000D53E3"/>
    <w:rsid w:val="000D6C60"/>
    <w:rsid w:val="000E2749"/>
    <w:rsid w:val="000E32AA"/>
    <w:rsid w:val="000F254D"/>
    <w:rsid w:val="000F3E10"/>
    <w:rsid w:val="000F73BE"/>
    <w:rsid w:val="00100AF9"/>
    <w:rsid w:val="00100EDA"/>
    <w:rsid w:val="00101991"/>
    <w:rsid w:val="00101F2E"/>
    <w:rsid w:val="00102D0D"/>
    <w:rsid w:val="00103538"/>
    <w:rsid w:val="0010374C"/>
    <w:rsid w:val="00104CCC"/>
    <w:rsid w:val="00106F55"/>
    <w:rsid w:val="00114E7D"/>
    <w:rsid w:val="00116D19"/>
    <w:rsid w:val="00116ED7"/>
    <w:rsid w:val="00121DC2"/>
    <w:rsid w:val="00125B1E"/>
    <w:rsid w:val="00132014"/>
    <w:rsid w:val="0013411D"/>
    <w:rsid w:val="00134B94"/>
    <w:rsid w:val="001350A5"/>
    <w:rsid w:val="00136A83"/>
    <w:rsid w:val="00141CE8"/>
    <w:rsid w:val="00146A13"/>
    <w:rsid w:val="00147087"/>
    <w:rsid w:val="001471CB"/>
    <w:rsid w:val="001509AA"/>
    <w:rsid w:val="00152A03"/>
    <w:rsid w:val="00153B99"/>
    <w:rsid w:val="00156378"/>
    <w:rsid w:val="001567F0"/>
    <w:rsid w:val="00157612"/>
    <w:rsid w:val="0016146F"/>
    <w:rsid w:val="001615EF"/>
    <w:rsid w:val="00163B0D"/>
    <w:rsid w:val="00165E8A"/>
    <w:rsid w:val="00170460"/>
    <w:rsid w:val="0017072D"/>
    <w:rsid w:val="00177233"/>
    <w:rsid w:val="0018308D"/>
    <w:rsid w:val="00184E85"/>
    <w:rsid w:val="00186E8B"/>
    <w:rsid w:val="001916FC"/>
    <w:rsid w:val="00192F46"/>
    <w:rsid w:val="00195EB7"/>
    <w:rsid w:val="001B009E"/>
    <w:rsid w:val="001B047D"/>
    <w:rsid w:val="001B078F"/>
    <w:rsid w:val="001B1D0C"/>
    <w:rsid w:val="001B3800"/>
    <w:rsid w:val="001D39A5"/>
    <w:rsid w:val="001D48A3"/>
    <w:rsid w:val="001D5654"/>
    <w:rsid w:val="001D58CA"/>
    <w:rsid w:val="001D5AEF"/>
    <w:rsid w:val="001E0445"/>
    <w:rsid w:val="001E0745"/>
    <w:rsid w:val="001E13D9"/>
    <w:rsid w:val="001E29CD"/>
    <w:rsid w:val="001E6AD9"/>
    <w:rsid w:val="001F5BAC"/>
    <w:rsid w:val="001F621E"/>
    <w:rsid w:val="00202A86"/>
    <w:rsid w:val="00204ACF"/>
    <w:rsid w:val="002054FA"/>
    <w:rsid w:val="002108FA"/>
    <w:rsid w:val="00213134"/>
    <w:rsid w:val="0021386B"/>
    <w:rsid w:val="002142D5"/>
    <w:rsid w:val="0021495F"/>
    <w:rsid w:val="00214B40"/>
    <w:rsid w:val="00221638"/>
    <w:rsid w:val="00231FEE"/>
    <w:rsid w:val="0023463C"/>
    <w:rsid w:val="00242F6D"/>
    <w:rsid w:val="00243858"/>
    <w:rsid w:val="00245FEC"/>
    <w:rsid w:val="00246FE9"/>
    <w:rsid w:val="0024733E"/>
    <w:rsid w:val="00250977"/>
    <w:rsid w:val="00252694"/>
    <w:rsid w:val="0025657C"/>
    <w:rsid w:val="0025663C"/>
    <w:rsid w:val="00256ABC"/>
    <w:rsid w:val="0025703B"/>
    <w:rsid w:val="00257D68"/>
    <w:rsid w:val="00260597"/>
    <w:rsid w:val="00260CBF"/>
    <w:rsid w:val="00260EF9"/>
    <w:rsid w:val="002674CB"/>
    <w:rsid w:val="00273404"/>
    <w:rsid w:val="00274CB3"/>
    <w:rsid w:val="00276000"/>
    <w:rsid w:val="0027655D"/>
    <w:rsid w:val="0027680E"/>
    <w:rsid w:val="00276FFE"/>
    <w:rsid w:val="0027737F"/>
    <w:rsid w:val="00282158"/>
    <w:rsid w:val="00283A5C"/>
    <w:rsid w:val="002863EE"/>
    <w:rsid w:val="0028659D"/>
    <w:rsid w:val="002869A4"/>
    <w:rsid w:val="00287CDA"/>
    <w:rsid w:val="00297DA2"/>
    <w:rsid w:val="002A54FD"/>
    <w:rsid w:val="002B4287"/>
    <w:rsid w:val="002B5085"/>
    <w:rsid w:val="002B52D6"/>
    <w:rsid w:val="002B7D74"/>
    <w:rsid w:val="002C74AE"/>
    <w:rsid w:val="002C7CF4"/>
    <w:rsid w:val="002D1177"/>
    <w:rsid w:val="002D2EAB"/>
    <w:rsid w:val="002D3271"/>
    <w:rsid w:val="002D3C7A"/>
    <w:rsid w:val="002D5F54"/>
    <w:rsid w:val="002D6A62"/>
    <w:rsid w:val="002D7039"/>
    <w:rsid w:val="002E1E88"/>
    <w:rsid w:val="002E7C9B"/>
    <w:rsid w:val="002F03E2"/>
    <w:rsid w:val="002F1D13"/>
    <w:rsid w:val="002F1DF5"/>
    <w:rsid w:val="002F7735"/>
    <w:rsid w:val="00302A1B"/>
    <w:rsid w:val="003074DF"/>
    <w:rsid w:val="003076CD"/>
    <w:rsid w:val="00312005"/>
    <w:rsid w:val="00312111"/>
    <w:rsid w:val="00315CF6"/>
    <w:rsid w:val="00315F99"/>
    <w:rsid w:val="00317C91"/>
    <w:rsid w:val="00322A8F"/>
    <w:rsid w:val="00324440"/>
    <w:rsid w:val="00325D82"/>
    <w:rsid w:val="00327723"/>
    <w:rsid w:val="0033016F"/>
    <w:rsid w:val="00330C3A"/>
    <w:rsid w:val="00331CF9"/>
    <w:rsid w:val="003335AD"/>
    <w:rsid w:val="003351ED"/>
    <w:rsid w:val="003356E3"/>
    <w:rsid w:val="00336701"/>
    <w:rsid w:val="00337E2A"/>
    <w:rsid w:val="00342493"/>
    <w:rsid w:val="003437AF"/>
    <w:rsid w:val="00343DB0"/>
    <w:rsid w:val="003447D9"/>
    <w:rsid w:val="003474FC"/>
    <w:rsid w:val="00347C8B"/>
    <w:rsid w:val="0035495F"/>
    <w:rsid w:val="00355942"/>
    <w:rsid w:val="00355AF2"/>
    <w:rsid w:val="003575EC"/>
    <w:rsid w:val="00361BF6"/>
    <w:rsid w:val="003628A1"/>
    <w:rsid w:val="003662BE"/>
    <w:rsid w:val="00372DFC"/>
    <w:rsid w:val="00373871"/>
    <w:rsid w:val="00373976"/>
    <w:rsid w:val="00383479"/>
    <w:rsid w:val="00383B48"/>
    <w:rsid w:val="003853DE"/>
    <w:rsid w:val="003907E7"/>
    <w:rsid w:val="003916E7"/>
    <w:rsid w:val="003927AD"/>
    <w:rsid w:val="00393CB9"/>
    <w:rsid w:val="00397225"/>
    <w:rsid w:val="00397E27"/>
    <w:rsid w:val="003A3BFD"/>
    <w:rsid w:val="003A523F"/>
    <w:rsid w:val="003A59F6"/>
    <w:rsid w:val="003A67FF"/>
    <w:rsid w:val="003B13C0"/>
    <w:rsid w:val="003B1624"/>
    <w:rsid w:val="003B2BB4"/>
    <w:rsid w:val="003B4B1E"/>
    <w:rsid w:val="003B5250"/>
    <w:rsid w:val="003B56A5"/>
    <w:rsid w:val="003C15AF"/>
    <w:rsid w:val="003C7692"/>
    <w:rsid w:val="003C7F27"/>
    <w:rsid w:val="003D2CB4"/>
    <w:rsid w:val="003D4151"/>
    <w:rsid w:val="003D6268"/>
    <w:rsid w:val="003E0003"/>
    <w:rsid w:val="003E2E31"/>
    <w:rsid w:val="003E38E9"/>
    <w:rsid w:val="003E5311"/>
    <w:rsid w:val="003E661C"/>
    <w:rsid w:val="003F6638"/>
    <w:rsid w:val="003F797F"/>
    <w:rsid w:val="00401FE1"/>
    <w:rsid w:val="00403EB4"/>
    <w:rsid w:val="004067A3"/>
    <w:rsid w:val="00406E54"/>
    <w:rsid w:val="00407BCB"/>
    <w:rsid w:val="00410342"/>
    <w:rsid w:val="004145AF"/>
    <w:rsid w:val="004167E7"/>
    <w:rsid w:val="00422A30"/>
    <w:rsid w:val="00423B5E"/>
    <w:rsid w:val="00427637"/>
    <w:rsid w:val="004303BE"/>
    <w:rsid w:val="004338DF"/>
    <w:rsid w:val="00436A64"/>
    <w:rsid w:val="00440AC2"/>
    <w:rsid w:val="00445455"/>
    <w:rsid w:val="00445A6E"/>
    <w:rsid w:val="00446B34"/>
    <w:rsid w:val="004477DB"/>
    <w:rsid w:val="00453B5B"/>
    <w:rsid w:val="00453E14"/>
    <w:rsid w:val="00455656"/>
    <w:rsid w:val="00457E30"/>
    <w:rsid w:val="00460356"/>
    <w:rsid w:val="00460646"/>
    <w:rsid w:val="00461079"/>
    <w:rsid w:val="00465A93"/>
    <w:rsid w:val="00472E24"/>
    <w:rsid w:val="00473B36"/>
    <w:rsid w:val="004759A5"/>
    <w:rsid w:val="0048352B"/>
    <w:rsid w:val="00491AFD"/>
    <w:rsid w:val="00497CB6"/>
    <w:rsid w:val="004A1738"/>
    <w:rsid w:val="004A1DF1"/>
    <w:rsid w:val="004A4D90"/>
    <w:rsid w:val="004A62F5"/>
    <w:rsid w:val="004B26C1"/>
    <w:rsid w:val="004B691C"/>
    <w:rsid w:val="004C05B2"/>
    <w:rsid w:val="004C2082"/>
    <w:rsid w:val="004C39EE"/>
    <w:rsid w:val="004D2B6B"/>
    <w:rsid w:val="004D2C96"/>
    <w:rsid w:val="004E1551"/>
    <w:rsid w:val="004E1930"/>
    <w:rsid w:val="004F27F5"/>
    <w:rsid w:val="004F48AA"/>
    <w:rsid w:val="004F7108"/>
    <w:rsid w:val="005220DC"/>
    <w:rsid w:val="00522C0C"/>
    <w:rsid w:val="00525840"/>
    <w:rsid w:val="005365BF"/>
    <w:rsid w:val="005407B9"/>
    <w:rsid w:val="00547FDA"/>
    <w:rsid w:val="005526AA"/>
    <w:rsid w:val="005534B9"/>
    <w:rsid w:val="005534BC"/>
    <w:rsid w:val="0055538C"/>
    <w:rsid w:val="00556E61"/>
    <w:rsid w:val="00564495"/>
    <w:rsid w:val="005663CA"/>
    <w:rsid w:val="00566485"/>
    <w:rsid w:val="00567635"/>
    <w:rsid w:val="00567D11"/>
    <w:rsid w:val="00570DB5"/>
    <w:rsid w:val="00571A51"/>
    <w:rsid w:val="00573264"/>
    <w:rsid w:val="00574013"/>
    <w:rsid w:val="0057553C"/>
    <w:rsid w:val="005772F4"/>
    <w:rsid w:val="00577C5E"/>
    <w:rsid w:val="00580EED"/>
    <w:rsid w:val="00581FD0"/>
    <w:rsid w:val="005839A2"/>
    <w:rsid w:val="0058609B"/>
    <w:rsid w:val="0059037F"/>
    <w:rsid w:val="00590680"/>
    <w:rsid w:val="005918BE"/>
    <w:rsid w:val="005A0A93"/>
    <w:rsid w:val="005A4070"/>
    <w:rsid w:val="005A4B30"/>
    <w:rsid w:val="005B1824"/>
    <w:rsid w:val="005B2B5B"/>
    <w:rsid w:val="005B412A"/>
    <w:rsid w:val="005B6500"/>
    <w:rsid w:val="005B674F"/>
    <w:rsid w:val="005C26A3"/>
    <w:rsid w:val="005C4AFB"/>
    <w:rsid w:val="005D0163"/>
    <w:rsid w:val="005D4C9B"/>
    <w:rsid w:val="005D542D"/>
    <w:rsid w:val="005E38DC"/>
    <w:rsid w:val="005F443E"/>
    <w:rsid w:val="005F503C"/>
    <w:rsid w:val="00601309"/>
    <w:rsid w:val="00601B39"/>
    <w:rsid w:val="0060290B"/>
    <w:rsid w:val="00624CF6"/>
    <w:rsid w:val="00626EC5"/>
    <w:rsid w:val="006334C4"/>
    <w:rsid w:val="00634346"/>
    <w:rsid w:val="00637BBF"/>
    <w:rsid w:val="00637C7E"/>
    <w:rsid w:val="006415E3"/>
    <w:rsid w:val="0064266F"/>
    <w:rsid w:val="00643F9A"/>
    <w:rsid w:val="00646037"/>
    <w:rsid w:val="006546D7"/>
    <w:rsid w:val="00656879"/>
    <w:rsid w:val="006605B2"/>
    <w:rsid w:val="00661838"/>
    <w:rsid w:val="00663469"/>
    <w:rsid w:val="006649F5"/>
    <w:rsid w:val="00672F39"/>
    <w:rsid w:val="00673410"/>
    <w:rsid w:val="006740A6"/>
    <w:rsid w:val="0067459C"/>
    <w:rsid w:val="00675EC3"/>
    <w:rsid w:val="00676F1B"/>
    <w:rsid w:val="00677B82"/>
    <w:rsid w:val="0068134C"/>
    <w:rsid w:val="006833DA"/>
    <w:rsid w:val="00683E2E"/>
    <w:rsid w:val="00686414"/>
    <w:rsid w:val="00691FF0"/>
    <w:rsid w:val="00696F11"/>
    <w:rsid w:val="006A0BB1"/>
    <w:rsid w:val="006A0F0F"/>
    <w:rsid w:val="006A1D7C"/>
    <w:rsid w:val="006A32FA"/>
    <w:rsid w:val="006A6D08"/>
    <w:rsid w:val="006B08DC"/>
    <w:rsid w:val="006B279A"/>
    <w:rsid w:val="006B328A"/>
    <w:rsid w:val="006B6683"/>
    <w:rsid w:val="006C2E49"/>
    <w:rsid w:val="006C646F"/>
    <w:rsid w:val="006D316A"/>
    <w:rsid w:val="006E3521"/>
    <w:rsid w:val="006E752F"/>
    <w:rsid w:val="006F2C5A"/>
    <w:rsid w:val="006F3C83"/>
    <w:rsid w:val="006F3CA7"/>
    <w:rsid w:val="006F71B5"/>
    <w:rsid w:val="006F7906"/>
    <w:rsid w:val="006F7BBC"/>
    <w:rsid w:val="00703323"/>
    <w:rsid w:val="007116B8"/>
    <w:rsid w:val="007116C6"/>
    <w:rsid w:val="00714D39"/>
    <w:rsid w:val="00725716"/>
    <w:rsid w:val="00726596"/>
    <w:rsid w:val="00727C2D"/>
    <w:rsid w:val="00732BA9"/>
    <w:rsid w:val="00736E21"/>
    <w:rsid w:val="00737453"/>
    <w:rsid w:val="00740793"/>
    <w:rsid w:val="007413BF"/>
    <w:rsid w:val="00743351"/>
    <w:rsid w:val="00744127"/>
    <w:rsid w:val="0074581A"/>
    <w:rsid w:val="007508E8"/>
    <w:rsid w:val="00753057"/>
    <w:rsid w:val="00755178"/>
    <w:rsid w:val="00757383"/>
    <w:rsid w:val="00757D90"/>
    <w:rsid w:val="00763BB6"/>
    <w:rsid w:val="00765594"/>
    <w:rsid w:val="00767FFB"/>
    <w:rsid w:val="007707F9"/>
    <w:rsid w:val="00777FF1"/>
    <w:rsid w:val="00780332"/>
    <w:rsid w:val="007903D1"/>
    <w:rsid w:val="00790B2B"/>
    <w:rsid w:val="00794BF1"/>
    <w:rsid w:val="00796AC9"/>
    <w:rsid w:val="00797278"/>
    <w:rsid w:val="007A037D"/>
    <w:rsid w:val="007A1A77"/>
    <w:rsid w:val="007A21C8"/>
    <w:rsid w:val="007A5B6B"/>
    <w:rsid w:val="007A7580"/>
    <w:rsid w:val="007A7D19"/>
    <w:rsid w:val="007B1875"/>
    <w:rsid w:val="007B42F5"/>
    <w:rsid w:val="007B4380"/>
    <w:rsid w:val="007B4AE3"/>
    <w:rsid w:val="007B5E37"/>
    <w:rsid w:val="007B6206"/>
    <w:rsid w:val="007B6BEA"/>
    <w:rsid w:val="007C012D"/>
    <w:rsid w:val="007C3D00"/>
    <w:rsid w:val="007C4AC4"/>
    <w:rsid w:val="007D50CE"/>
    <w:rsid w:val="007D6573"/>
    <w:rsid w:val="007E265D"/>
    <w:rsid w:val="007E280A"/>
    <w:rsid w:val="007E559C"/>
    <w:rsid w:val="007E6F23"/>
    <w:rsid w:val="007F0C62"/>
    <w:rsid w:val="007F5EFA"/>
    <w:rsid w:val="00802021"/>
    <w:rsid w:val="0080629B"/>
    <w:rsid w:val="0080696C"/>
    <w:rsid w:val="00806ED9"/>
    <w:rsid w:val="00811EF5"/>
    <w:rsid w:val="0081236C"/>
    <w:rsid w:val="00812890"/>
    <w:rsid w:val="0082086B"/>
    <w:rsid w:val="008221D3"/>
    <w:rsid w:val="008223BF"/>
    <w:rsid w:val="00826A3C"/>
    <w:rsid w:val="00826DC5"/>
    <w:rsid w:val="008321A0"/>
    <w:rsid w:val="0083255E"/>
    <w:rsid w:val="00834802"/>
    <w:rsid w:val="00836307"/>
    <w:rsid w:val="008379D5"/>
    <w:rsid w:val="00845D58"/>
    <w:rsid w:val="00846A72"/>
    <w:rsid w:val="0085117D"/>
    <w:rsid w:val="0086084B"/>
    <w:rsid w:val="00860C8E"/>
    <w:rsid w:val="008612C5"/>
    <w:rsid w:val="00861FC1"/>
    <w:rsid w:val="00866A95"/>
    <w:rsid w:val="00876CC8"/>
    <w:rsid w:val="00876E9D"/>
    <w:rsid w:val="0088144C"/>
    <w:rsid w:val="0089610C"/>
    <w:rsid w:val="008B3342"/>
    <w:rsid w:val="008B59D3"/>
    <w:rsid w:val="008B6020"/>
    <w:rsid w:val="008C5EDD"/>
    <w:rsid w:val="008D245E"/>
    <w:rsid w:val="008D280D"/>
    <w:rsid w:val="008D5230"/>
    <w:rsid w:val="008D6D3D"/>
    <w:rsid w:val="008E0DCE"/>
    <w:rsid w:val="008E28A7"/>
    <w:rsid w:val="008F3096"/>
    <w:rsid w:val="008F7B39"/>
    <w:rsid w:val="00904189"/>
    <w:rsid w:val="009041DF"/>
    <w:rsid w:val="00910056"/>
    <w:rsid w:val="009113C2"/>
    <w:rsid w:val="00914047"/>
    <w:rsid w:val="0091445D"/>
    <w:rsid w:val="009168D3"/>
    <w:rsid w:val="009179EA"/>
    <w:rsid w:val="009209DD"/>
    <w:rsid w:val="0092355C"/>
    <w:rsid w:val="0092500D"/>
    <w:rsid w:val="00926F10"/>
    <w:rsid w:val="00927208"/>
    <w:rsid w:val="00930DE4"/>
    <w:rsid w:val="00931C36"/>
    <w:rsid w:val="0093574D"/>
    <w:rsid w:val="00935804"/>
    <w:rsid w:val="00941008"/>
    <w:rsid w:val="00942623"/>
    <w:rsid w:val="00943C88"/>
    <w:rsid w:val="0094451A"/>
    <w:rsid w:val="00944572"/>
    <w:rsid w:val="00944873"/>
    <w:rsid w:val="0094544F"/>
    <w:rsid w:val="009457F5"/>
    <w:rsid w:val="009510B2"/>
    <w:rsid w:val="00952BDE"/>
    <w:rsid w:val="00954DAF"/>
    <w:rsid w:val="009552BC"/>
    <w:rsid w:val="00956F04"/>
    <w:rsid w:val="009644BE"/>
    <w:rsid w:val="009646D7"/>
    <w:rsid w:val="00965513"/>
    <w:rsid w:val="009714FD"/>
    <w:rsid w:val="00971DFA"/>
    <w:rsid w:val="0097200D"/>
    <w:rsid w:val="0097292E"/>
    <w:rsid w:val="009752D7"/>
    <w:rsid w:val="00985673"/>
    <w:rsid w:val="00990E03"/>
    <w:rsid w:val="00993F6E"/>
    <w:rsid w:val="009A3249"/>
    <w:rsid w:val="009A324E"/>
    <w:rsid w:val="009A3842"/>
    <w:rsid w:val="009A4D8A"/>
    <w:rsid w:val="009A6A2F"/>
    <w:rsid w:val="009C03DB"/>
    <w:rsid w:val="009C0C1C"/>
    <w:rsid w:val="009C2BB4"/>
    <w:rsid w:val="009C608B"/>
    <w:rsid w:val="009D15E6"/>
    <w:rsid w:val="009D3281"/>
    <w:rsid w:val="009D549C"/>
    <w:rsid w:val="009D7FFE"/>
    <w:rsid w:val="009E4FF5"/>
    <w:rsid w:val="009E62EF"/>
    <w:rsid w:val="009F4C6C"/>
    <w:rsid w:val="009F4F7A"/>
    <w:rsid w:val="009F587C"/>
    <w:rsid w:val="00A02895"/>
    <w:rsid w:val="00A02A0B"/>
    <w:rsid w:val="00A0441B"/>
    <w:rsid w:val="00A04B5A"/>
    <w:rsid w:val="00A065F3"/>
    <w:rsid w:val="00A065F7"/>
    <w:rsid w:val="00A067E5"/>
    <w:rsid w:val="00A14ACA"/>
    <w:rsid w:val="00A15A46"/>
    <w:rsid w:val="00A17C31"/>
    <w:rsid w:val="00A208D4"/>
    <w:rsid w:val="00A21D6F"/>
    <w:rsid w:val="00A2442F"/>
    <w:rsid w:val="00A25C68"/>
    <w:rsid w:val="00A27427"/>
    <w:rsid w:val="00A354F0"/>
    <w:rsid w:val="00A35829"/>
    <w:rsid w:val="00A3658B"/>
    <w:rsid w:val="00A416F8"/>
    <w:rsid w:val="00A42342"/>
    <w:rsid w:val="00A4642A"/>
    <w:rsid w:val="00A46AA1"/>
    <w:rsid w:val="00A54B60"/>
    <w:rsid w:val="00A57262"/>
    <w:rsid w:val="00A62FE6"/>
    <w:rsid w:val="00A70C93"/>
    <w:rsid w:val="00A7354E"/>
    <w:rsid w:val="00A739BE"/>
    <w:rsid w:val="00A7591B"/>
    <w:rsid w:val="00A76A9A"/>
    <w:rsid w:val="00A95A76"/>
    <w:rsid w:val="00AA0281"/>
    <w:rsid w:val="00AA11FD"/>
    <w:rsid w:val="00AA2237"/>
    <w:rsid w:val="00AA22A5"/>
    <w:rsid w:val="00AA2AC2"/>
    <w:rsid w:val="00AA5240"/>
    <w:rsid w:val="00AB51FA"/>
    <w:rsid w:val="00AB6787"/>
    <w:rsid w:val="00AC05ED"/>
    <w:rsid w:val="00AC2576"/>
    <w:rsid w:val="00AC30F2"/>
    <w:rsid w:val="00AC4ADC"/>
    <w:rsid w:val="00AC5C6C"/>
    <w:rsid w:val="00AC773A"/>
    <w:rsid w:val="00AD55C0"/>
    <w:rsid w:val="00AD5997"/>
    <w:rsid w:val="00AD6327"/>
    <w:rsid w:val="00AD7E39"/>
    <w:rsid w:val="00AE0634"/>
    <w:rsid w:val="00AE1635"/>
    <w:rsid w:val="00AE1FF2"/>
    <w:rsid w:val="00AE359A"/>
    <w:rsid w:val="00AE41D2"/>
    <w:rsid w:val="00AE50F5"/>
    <w:rsid w:val="00AE7AE1"/>
    <w:rsid w:val="00AF63CD"/>
    <w:rsid w:val="00B03D4C"/>
    <w:rsid w:val="00B10181"/>
    <w:rsid w:val="00B122DD"/>
    <w:rsid w:val="00B152FA"/>
    <w:rsid w:val="00B15AFC"/>
    <w:rsid w:val="00B2271A"/>
    <w:rsid w:val="00B2642C"/>
    <w:rsid w:val="00B27235"/>
    <w:rsid w:val="00B3118D"/>
    <w:rsid w:val="00B3579A"/>
    <w:rsid w:val="00B361D3"/>
    <w:rsid w:val="00B37EE9"/>
    <w:rsid w:val="00B43693"/>
    <w:rsid w:val="00B45983"/>
    <w:rsid w:val="00B470EF"/>
    <w:rsid w:val="00B53761"/>
    <w:rsid w:val="00B53CF3"/>
    <w:rsid w:val="00B54792"/>
    <w:rsid w:val="00B60088"/>
    <w:rsid w:val="00B60B83"/>
    <w:rsid w:val="00B62D4F"/>
    <w:rsid w:val="00B65865"/>
    <w:rsid w:val="00B71693"/>
    <w:rsid w:val="00B71B1C"/>
    <w:rsid w:val="00B77635"/>
    <w:rsid w:val="00B8504C"/>
    <w:rsid w:val="00B856CA"/>
    <w:rsid w:val="00B86D46"/>
    <w:rsid w:val="00B92BE1"/>
    <w:rsid w:val="00B932B7"/>
    <w:rsid w:val="00B96C8B"/>
    <w:rsid w:val="00BA29BB"/>
    <w:rsid w:val="00BA3264"/>
    <w:rsid w:val="00BC0099"/>
    <w:rsid w:val="00BC08E6"/>
    <w:rsid w:val="00BC39F1"/>
    <w:rsid w:val="00BC5130"/>
    <w:rsid w:val="00BC5EA0"/>
    <w:rsid w:val="00BC6B0E"/>
    <w:rsid w:val="00BD0381"/>
    <w:rsid w:val="00BF744C"/>
    <w:rsid w:val="00C12078"/>
    <w:rsid w:val="00C168FB"/>
    <w:rsid w:val="00C177AB"/>
    <w:rsid w:val="00C17EC7"/>
    <w:rsid w:val="00C26AED"/>
    <w:rsid w:val="00C3074F"/>
    <w:rsid w:val="00C348D5"/>
    <w:rsid w:val="00C35177"/>
    <w:rsid w:val="00C4164B"/>
    <w:rsid w:val="00C42EDC"/>
    <w:rsid w:val="00C44002"/>
    <w:rsid w:val="00C5116B"/>
    <w:rsid w:val="00C52C62"/>
    <w:rsid w:val="00C569B2"/>
    <w:rsid w:val="00C60BF7"/>
    <w:rsid w:val="00C65DBA"/>
    <w:rsid w:val="00C66544"/>
    <w:rsid w:val="00C66BF3"/>
    <w:rsid w:val="00C70F34"/>
    <w:rsid w:val="00C73F9F"/>
    <w:rsid w:val="00C80539"/>
    <w:rsid w:val="00C80E9C"/>
    <w:rsid w:val="00C932C5"/>
    <w:rsid w:val="00C94606"/>
    <w:rsid w:val="00C969A9"/>
    <w:rsid w:val="00CA0640"/>
    <w:rsid w:val="00CA5345"/>
    <w:rsid w:val="00CA6501"/>
    <w:rsid w:val="00CA74E5"/>
    <w:rsid w:val="00CB3E5C"/>
    <w:rsid w:val="00CB4BC1"/>
    <w:rsid w:val="00CC118D"/>
    <w:rsid w:val="00CC2D06"/>
    <w:rsid w:val="00CC2EF3"/>
    <w:rsid w:val="00CC390B"/>
    <w:rsid w:val="00CC3DC2"/>
    <w:rsid w:val="00CC4086"/>
    <w:rsid w:val="00CC4B2C"/>
    <w:rsid w:val="00CC59D6"/>
    <w:rsid w:val="00CC5DD2"/>
    <w:rsid w:val="00CC5EF9"/>
    <w:rsid w:val="00CD2F4B"/>
    <w:rsid w:val="00CD379F"/>
    <w:rsid w:val="00CD416E"/>
    <w:rsid w:val="00CD5859"/>
    <w:rsid w:val="00CE154F"/>
    <w:rsid w:val="00CE2DED"/>
    <w:rsid w:val="00CE78B2"/>
    <w:rsid w:val="00CF17BF"/>
    <w:rsid w:val="00CF4F15"/>
    <w:rsid w:val="00CF5041"/>
    <w:rsid w:val="00CF738F"/>
    <w:rsid w:val="00D03405"/>
    <w:rsid w:val="00D05922"/>
    <w:rsid w:val="00D06492"/>
    <w:rsid w:val="00D067DA"/>
    <w:rsid w:val="00D14812"/>
    <w:rsid w:val="00D17634"/>
    <w:rsid w:val="00D23AC1"/>
    <w:rsid w:val="00D26B59"/>
    <w:rsid w:val="00D275E6"/>
    <w:rsid w:val="00D34AE3"/>
    <w:rsid w:val="00D3714A"/>
    <w:rsid w:val="00D3784C"/>
    <w:rsid w:val="00D404E7"/>
    <w:rsid w:val="00D40C41"/>
    <w:rsid w:val="00D42341"/>
    <w:rsid w:val="00D431F3"/>
    <w:rsid w:val="00D4446E"/>
    <w:rsid w:val="00D56FD2"/>
    <w:rsid w:val="00D6605F"/>
    <w:rsid w:val="00D70F25"/>
    <w:rsid w:val="00D7181A"/>
    <w:rsid w:val="00D739CC"/>
    <w:rsid w:val="00D777E5"/>
    <w:rsid w:val="00D80B98"/>
    <w:rsid w:val="00D80E9A"/>
    <w:rsid w:val="00D82254"/>
    <w:rsid w:val="00D831C6"/>
    <w:rsid w:val="00D8757C"/>
    <w:rsid w:val="00D91AE4"/>
    <w:rsid w:val="00DA573F"/>
    <w:rsid w:val="00DB36EF"/>
    <w:rsid w:val="00DB778F"/>
    <w:rsid w:val="00DB7F60"/>
    <w:rsid w:val="00DC6227"/>
    <w:rsid w:val="00DD27C4"/>
    <w:rsid w:val="00DE4D6C"/>
    <w:rsid w:val="00DE7074"/>
    <w:rsid w:val="00DE718E"/>
    <w:rsid w:val="00DF02A7"/>
    <w:rsid w:val="00DF116B"/>
    <w:rsid w:val="00DF455D"/>
    <w:rsid w:val="00E0192A"/>
    <w:rsid w:val="00E04B6B"/>
    <w:rsid w:val="00E059B7"/>
    <w:rsid w:val="00E079D7"/>
    <w:rsid w:val="00E17808"/>
    <w:rsid w:val="00E20CA0"/>
    <w:rsid w:val="00E23C0A"/>
    <w:rsid w:val="00E24B9D"/>
    <w:rsid w:val="00E26496"/>
    <w:rsid w:val="00E27999"/>
    <w:rsid w:val="00E31865"/>
    <w:rsid w:val="00E335E3"/>
    <w:rsid w:val="00E34488"/>
    <w:rsid w:val="00E4089A"/>
    <w:rsid w:val="00E42B75"/>
    <w:rsid w:val="00E42D34"/>
    <w:rsid w:val="00E4799E"/>
    <w:rsid w:val="00E51E24"/>
    <w:rsid w:val="00E61617"/>
    <w:rsid w:val="00E62E60"/>
    <w:rsid w:val="00E64736"/>
    <w:rsid w:val="00E65D08"/>
    <w:rsid w:val="00E75400"/>
    <w:rsid w:val="00E809A3"/>
    <w:rsid w:val="00E8318D"/>
    <w:rsid w:val="00E83919"/>
    <w:rsid w:val="00E8713A"/>
    <w:rsid w:val="00E916CF"/>
    <w:rsid w:val="00E92A31"/>
    <w:rsid w:val="00E94D7A"/>
    <w:rsid w:val="00E95D8E"/>
    <w:rsid w:val="00E96EB8"/>
    <w:rsid w:val="00EA0467"/>
    <w:rsid w:val="00EA0609"/>
    <w:rsid w:val="00EA349D"/>
    <w:rsid w:val="00EA4DA5"/>
    <w:rsid w:val="00EA6C7C"/>
    <w:rsid w:val="00EB3BD5"/>
    <w:rsid w:val="00EB7438"/>
    <w:rsid w:val="00EC1F52"/>
    <w:rsid w:val="00EC3A2D"/>
    <w:rsid w:val="00EC4862"/>
    <w:rsid w:val="00EC56E1"/>
    <w:rsid w:val="00EC7BAC"/>
    <w:rsid w:val="00ED191A"/>
    <w:rsid w:val="00ED1D55"/>
    <w:rsid w:val="00EE65EC"/>
    <w:rsid w:val="00EF0F07"/>
    <w:rsid w:val="00EF2B9D"/>
    <w:rsid w:val="00EF7595"/>
    <w:rsid w:val="00F011C6"/>
    <w:rsid w:val="00F067C1"/>
    <w:rsid w:val="00F10543"/>
    <w:rsid w:val="00F12C8B"/>
    <w:rsid w:val="00F15DF2"/>
    <w:rsid w:val="00F20D5B"/>
    <w:rsid w:val="00F223EA"/>
    <w:rsid w:val="00F235BD"/>
    <w:rsid w:val="00F315F2"/>
    <w:rsid w:val="00F33CD5"/>
    <w:rsid w:val="00F36595"/>
    <w:rsid w:val="00F37FD3"/>
    <w:rsid w:val="00F43482"/>
    <w:rsid w:val="00F47AC0"/>
    <w:rsid w:val="00F51255"/>
    <w:rsid w:val="00F51D3F"/>
    <w:rsid w:val="00F5428A"/>
    <w:rsid w:val="00F65592"/>
    <w:rsid w:val="00F72244"/>
    <w:rsid w:val="00F72408"/>
    <w:rsid w:val="00F74766"/>
    <w:rsid w:val="00F747E1"/>
    <w:rsid w:val="00F83DB3"/>
    <w:rsid w:val="00F87B91"/>
    <w:rsid w:val="00F90C25"/>
    <w:rsid w:val="00F90E34"/>
    <w:rsid w:val="00F91380"/>
    <w:rsid w:val="00F92636"/>
    <w:rsid w:val="00F93AB7"/>
    <w:rsid w:val="00F9413A"/>
    <w:rsid w:val="00F96B0B"/>
    <w:rsid w:val="00FA24DB"/>
    <w:rsid w:val="00FA6D64"/>
    <w:rsid w:val="00FB3733"/>
    <w:rsid w:val="00FB3AEC"/>
    <w:rsid w:val="00FB4D99"/>
    <w:rsid w:val="00FB780D"/>
    <w:rsid w:val="00FD1C91"/>
    <w:rsid w:val="00FD2236"/>
    <w:rsid w:val="00FD2A46"/>
    <w:rsid w:val="00FE315B"/>
    <w:rsid w:val="00FE3A8C"/>
    <w:rsid w:val="00FE4F92"/>
    <w:rsid w:val="00FE62A7"/>
    <w:rsid w:val="00FF0AD1"/>
    <w:rsid w:val="00FF4223"/>
    <w:rsid w:val="00FF5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55649"/>
    <o:shapelayout v:ext="edit">
      <o:idmap v:ext="edit" data="1"/>
    </o:shapelayout>
  </w:shapeDefaults>
  <w:decimalSymbol w:val=","/>
  <w:listSeparator w:val=";"/>
  <w14:docId w14:val="3834A940"/>
  <w15:docId w15:val="{744A159A-2144-42BB-8C7B-59116131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2">
    <w:name w:val="heading 2"/>
    <w:basedOn w:val="Normal"/>
    <w:next w:val="Normal"/>
    <w:link w:val="Heading2Char"/>
    <w:uiPriority w:val="9"/>
    <w:semiHidden/>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autoRedefine/>
    <w:qFormat/>
    <w:rsid w:val="00AA2AC2"/>
    <w:pPr>
      <w:widowControl/>
      <w:spacing w:before="0" w:after="120" w:line="240" w:lineRule="atLeast"/>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unhideWhenUsed/>
    <w:rsid w:val="000A4362"/>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iPriority w:val="99"/>
    <w:unhideWhenUsed/>
    <w:rsid w:val="00CC5DD2"/>
    <w:rPr>
      <w:sz w:val="16"/>
      <w:szCs w:val="16"/>
    </w:rPr>
  </w:style>
  <w:style w:type="paragraph" w:styleId="CommentText">
    <w:name w:val="annotation text"/>
    <w:basedOn w:val="Normal"/>
    <w:link w:val="CommentTextChar"/>
    <w:uiPriority w:val="99"/>
    <w:unhideWhenUsed/>
    <w:rsid w:val="00CC5DD2"/>
    <w:rPr>
      <w:sz w:val="20"/>
    </w:rPr>
  </w:style>
  <w:style w:type="character" w:customStyle="1" w:styleId="CommentTextChar">
    <w:name w:val="Comment Text Char"/>
    <w:basedOn w:val="DefaultParagraphFont"/>
    <w:link w:val="CommentText"/>
    <w:uiPriority w:val="99"/>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AA2AC2"/>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 w:type="paragraph" w:styleId="EndnoteText">
    <w:name w:val="endnote text"/>
    <w:basedOn w:val="Normal"/>
    <w:link w:val="EndnoteTextChar"/>
    <w:uiPriority w:val="99"/>
    <w:semiHidden/>
    <w:unhideWhenUsed/>
    <w:rsid w:val="00D831C6"/>
    <w:pPr>
      <w:spacing w:before="0" w:after="0"/>
    </w:pPr>
    <w:rPr>
      <w:sz w:val="20"/>
    </w:rPr>
  </w:style>
  <w:style w:type="character" w:customStyle="1" w:styleId="EndnoteTextChar">
    <w:name w:val="Endnote Text Char"/>
    <w:basedOn w:val="DefaultParagraphFont"/>
    <w:link w:val="EndnoteText"/>
    <w:uiPriority w:val="99"/>
    <w:semiHidden/>
    <w:rsid w:val="00D831C6"/>
    <w:rPr>
      <w:rFonts w:ascii="Times New Roman" w:eastAsia="Times New Roman" w:hAnsi="Times New Roman" w:cs="Times New Roman"/>
      <w:snapToGrid w:val="0"/>
      <w:sz w:val="20"/>
      <w:szCs w:val="20"/>
      <w:lang w:val="en-US"/>
    </w:rPr>
  </w:style>
  <w:style w:type="character" w:styleId="EndnoteReference">
    <w:name w:val="endnote reference"/>
    <w:basedOn w:val="DefaultParagraphFont"/>
    <w:uiPriority w:val="99"/>
    <w:semiHidden/>
    <w:unhideWhenUsed/>
    <w:rsid w:val="00D831C6"/>
    <w:rPr>
      <w:vertAlign w:val="superscript"/>
    </w:rPr>
  </w:style>
  <w:style w:type="character" w:styleId="UnresolvedMention">
    <w:name w:val="Unresolved Mention"/>
    <w:basedOn w:val="DefaultParagraphFont"/>
    <w:uiPriority w:val="99"/>
    <w:semiHidden/>
    <w:unhideWhenUsed/>
    <w:rsid w:val="00B3579A"/>
    <w:rPr>
      <w:color w:val="605E5C"/>
      <w:shd w:val="clear" w:color="auto" w:fill="E1DFDD"/>
    </w:rPr>
  </w:style>
  <w:style w:type="character" w:customStyle="1" w:styleId="cf01">
    <w:name w:val="cf01"/>
    <w:basedOn w:val="DefaultParagraphFont"/>
    <w:rsid w:val="005772F4"/>
    <w:rPr>
      <w:rFonts w:ascii="Segoe UI" w:hAnsi="Segoe UI" w:cs="Segoe UI" w:hint="default"/>
      <w:sz w:val="18"/>
      <w:szCs w:val="18"/>
    </w:rPr>
  </w:style>
  <w:style w:type="character" w:customStyle="1" w:styleId="Heading2Char">
    <w:name w:val="Heading 2 Char"/>
    <w:basedOn w:val="DefaultParagraphFont"/>
    <w:link w:val="Heading2"/>
    <w:uiPriority w:val="9"/>
    <w:semiHidden/>
    <w:rsid w:val="00DF455D"/>
    <w:rPr>
      <w:rFonts w:asciiTheme="majorHAnsi" w:eastAsiaTheme="majorEastAsia" w:hAnsiTheme="majorHAnsi" w:cstheme="majorBidi"/>
      <w:snapToGrid w:val="0"/>
      <w:color w:val="365F91"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13" Type="http://schemas.openxmlformats.org/officeDocument/2006/relationships/hyperlink" Target="https://ec.europa.eu/info/funding-tenders/opportunities/portal/screen/how-to-participate/participant-register" TargetMode="Externa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ebgate.ec.europa.eu/fpfis/wikis/x/sYXvIg"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info/funding-tenders/opportunities/portal/screen/how-to-participate/participant-regist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kis.ec.europa.eu/display/ExactExternalWiki/Annexes"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1.xml"/><Relationship Id="rId20"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c.europa.eu/info/funding-tenders/opportunities/portal/screen/home" TargetMode="External"/><Relationship Id="rId2" Type="http://schemas.openxmlformats.org/officeDocument/2006/relationships/hyperlink" Target="https://www.sanctionsmap.eu/" TargetMode="External"/><Relationship Id="rId1" Type="http://schemas.openxmlformats.org/officeDocument/2006/relationships/hyperlink" Target="http://data.europa.eu/eli/reg/2024/792/oj" TargetMode="External"/><Relationship Id="rId4" Type="http://schemas.openxmlformats.org/officeDocument/2006/relationships/hyperlink" Target="https://wikis.ec.europa.eu/display/FTPortal/Quick+guides+eSubmiss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Props1.xml><?xml version="1.0" encoding="utf-8"?>
<ds:datastoreItem xmlns:ds="http://schemas.openxmlformats.org/officeDocument/2006/customXml" ds:itemID="{F553469F-224A-4722-895F-8C95147B63C4}">
  <ds:schemaRefs>
    <ds:schemaRef ds:uri="http://schemas.openxmlformats.org/officeDocument/2006/bibliography"/>
  </ds:schemaRefs>
</ds:datastoreItem>
</file>

<file path=customXml/itemProps2.xml><?xml version="1.0" encoding="utf-8"?>
<ds:datastoreItem xmlns:ds="http://schemas.openxmlformats.org/officeDocument/2006/customXml" ds:itemID="{ACFE6D93-4E45-411A-A905-9B9FCD22D366}"/>
</file>

<file path=customXml/itemProps3.xml><?xml version="1.0" encoding="utf-8"?>
<ds:datastoreItem xmlns:ds="http://schemas.openxmlformats.org/officeDocument/2006/customXml" ds:itemID="{34D0E5DD-F0D2-48C7-A25C-82E51BACBBDE}"/>
</file>

<file path=customXml/itemProps4.xml><?xml version="1.0" encoding="utf-8"?>
<ds:datastoreItem xmlns:ds="http://schemas.openxmlformats.org/officeDocument/2006/customXml" ds:itemID="{D02E7FFE-CC15-4EB1-9D5E-EC8616040714}"/>
</file>

<file path=docProps/app.xml><?xml version="1.0" encoding="utf-8"?>
<Properties xmlns="http://schemas.openxmlformats.org/officeDocument/2006/extended-properties" xmlns:vt="http://schemas.openxmlformats.org/officeDocument/2006/docPropsVTypes">
  <Template>Normal.dotm</Template>
  <TotalTime>216</TotalTime>
  <Pages>15</Pages>
  <Words>6473</Words>
  <Characters>35928</Characters>
  <Application>Microsoft Office Word</Application>
  <DocSecurity>0</DocSecurity>
  <Lines>579</Lines>
  <Paragraphs>292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Supply of IT and data-centre equipment for the NINET data centre in Niš</dc:title>
  <dc:subject>Additional information about the contract notice – BGRS0500152-TD[XX]-PP2</dc:subject>
  <dc:creator>Ninet Company d.o.o.</dc:creator>
  <cp:keywords/>
  <dc:description/>
  <cp:lastModifiedBy>Ninet Company d.o.o.</cp:lastModifiedBy>
  <cp:revision>26</cp:revision>
  <cp:lastPrinted>2024-06-06T14:59:00Z</cp:lastPrinted>
  <dcterms:created xsi:type="dcterms:W3CDTF">2024-06-17T13:36:00Z</dcterms:created>
  <dcterms:modified xsi:type="dcterms:W3CDTF">2024-12-13T15:29:00Z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y fmtid="{D5CDD505-2E9C-101B-9397-08002B2CF9AE}" pid="9" name="ContentTypeId">
    <vt:lpwstr>0x010100724FDE23FB365D4CB8B2901107175F9F</vt:lpwstr>
  </property>
</Properties>
</file>