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</w:pPr>
      <w:r>
        <w:rPr>
          <w:b/>
          <w:bCs/>
          <w:sz w:val="30"/>
          <w:szCs w:val="30"/>
        </w:rPr>
        <w:t xml:space="preserve">CONTRACT NOTICE</w:t>
      </w:r>
    </w:p>
    <w:p>
      <w:pPr>
        <w:spacing w:after="120"/>
      </w:pPr>
      <w:r>
        <w:rPr>
          <w:i/>
          <w:iCs/>
          <w:color w:val="555555"/>
          <w:sz w:val="18"/>
          <w:szCs w:val="18"/>
        </w:rPr>
        <w:t xml:space="preserve">Publication reference: BGRS0500152-TD01-PP2  ·  Project: DATACENTERSBGSR (Interreg VI-A IPA Bulgaria-Serbia).</w:t>
      </w:r>
    </w:p>
    <w:p>
      <w:pPr>
        <w:spacing w:after="120" w:before="160"/>
      </w:pPr>
      <w:r>
        <w:rPr>
          <w:b/>
          <w:bCs/>
          <w:sz w:val="24"/>
          <w:szCs w:val="24"/>
        </w:rPr>
        <w:t xml:space="preserve">CALL FOR TENDER: GENERAL INFORMATION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Buyer</w:t>
      </w:r>
    </w:p>
    <w:p>
      <w:pPr>
        <w:spacing w:after="40"/>
      </w:pPr>
      <w:r>
        <w:rPr>
          <w:b/>
          <w:bCs/>
          <w:sz w:val="20"/>
          <w:szCs w:val="20"/>
        </w:rPr>
        <w:t xml:space="preserve">Official name: </w:t>
      </w:r>
      <w:r>
        <w:rPr>
          <w:sz w:val="20"/>
          <w:szCs w:val="20"/>
        </w:rPr>
        <w:t xml:space="preserve">Ninet Company d.o.o.</w:t>
      </w:r>
    </w:p>
    <w:p>
      <w:pPr>
        <w:spacing w:after="40"/>
      </w:pPr>
      <w:r>
        <w:rPr>
          <w:b/>
          <w:bCs/>
          <w:sz w:val="20"/>
          <w:szCs w:val="20"/>
        </w:rPr>
        <w:t xml:space="preserve">Legal type: </w:t>
      </w:r>
      <w:r>
        <w:rPr>
          <w:sz w:val="20"/>
          <w:szCs w:val="20"/>
        </w:rPr>
        <w:t xml:space="preserve">private entity (limited liability company), SME</w:t>
      </w:r>
    </w:p>
    <w:p>
      <w:pPr>
        <w:spacing w:after="40"/>
      </w:pPr>
      <w:r>
        <w:rPr>
          <w:b/>
          <w:bCs/>
          <w:sz w:val="20"/>
          <w:szCs w:val="20"/>
        </w:rPr>
        <w:t xml:space="preserve">Registration number (Matični broj): </w:t>
      </w:r>
      <w:r>
        <w:rPr>
          <w:sz w:val="20"/>
          <w:szCs w:val="20"/>
        </w:rPr>
        <w:t xml:space="preserve">17499114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Tax identification number (PIB): </w:t>
      </w:r>
      <w:r>
        <w:rPr>
          <w:sz w:val="20"/>
          <w:szCs w:val="20"/>
        </w:rPr>
        <w:t xml:space="preserve">102876366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Activity of the contracting authority</w:t>
      </w:r>
    </w:p>
    <w:p>
      <w:pPr>
        <w:spacing w:after="60"/>
      </w:pPr>
      <w:r>
        <w:rPr>
          <w:sz w:val="20"/>
          <w:szCs w:val="20"/>
        </w:rPr>
        <w:t xml:space="preserve">Ninet Company d.o.o. is a Serbian electronic-communications operator and internet service provider operating a data centre in Niš, providing hosting, cloud/VPS and related IT services.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Procedure</w:t>
      </w:r>
    </w:p>
    <w:p>
      <w:pPr>
        <w:spacing w:after="60"/>
      </w:pPr>
      <w:r>
        <w:rPr>
          <w:sz w:val="20"/>
          <w:szCs w:val="20"/>
        </w:rPr>
        <w:t xml:space="preserve">Local Open procedure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Procedure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Title: </w:t>
      </w:r>
      <w:r>
        <w:rPr>
          <w:sz w:val="20"/>
          <w:szCs w:val="20"/>
        </w:rPr>
        <w:t xml:space="preserve">Supply of IT and data-centre equipment for the NINET data centre in Niš</w:t>
      </w:r>
    </w:p>
    <w:p>
      <w:pPr>
        <w:spacing w:after="60"/>
      </w:pPr>
      <w:r>
        <w:rPr>
          <w:sz w:val="20"/>
          <w:szCs w:val="20"/>
        </w:rPr>
        <w:t>Ninet Company d.o.o., Niš, Serbia is publishing a procurement procedure for the supply, delivery, installation and commissioning of IT and data-centre equipment for the NINET data centre in Niš. The procurement is divided into two lots: Lot 1 - Racks and UPS equipment; Lot 2 - Virtualisation equipment.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Type of procedure: </w:t>
      </w:r>
      <w:r>
        <w:rPr>
          <w:sz w:val="20"/>
          <w:szCs w:val="20"/>
        </w:rPr>
        <w:t xml:space="preserve">Open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Purpose</w:t>
      </w:r>
    </w:p>
    <w:p>
      <w:pPr>
        <w:spacing w:after="40"/>
      </w:pPr>
      <w:r>
        <w:rPr>
          <w:b/>
          <w:bCs/>
          <w:sz w:val="20"/>
          <w:szCs w:val="20"/>
        </w:rPr>
        <w:t xml:space="preserve">Nature of the contract: </w:t>
      </w:r>
      <w:r>
        <w:rPr>
          <w:sz w:val="20"/>
          <w:szCs w:val="20"/>
        </w:rPr>
        <w:t xml:space="preserve">Supplies</w:t>
      </w:r>
    </w:p>
    <w:p>
      <w:pPr>
        <w:spacing w:after="40"/>
      </w:pPr>
      <w:r>
        <w:rPr>
          <w:b/>
          <w:bCs/>
          <w:sz w:val="20"/>
          <w:szCs w:val="20"/>
        </w:rPr>
        <w:t xml:space="preserve">Main classification (CPV code): </w:t>
      </w:r>
      <w:r>
        <w:rPr>
          <w:sz w:val="20"/>
          <w:szCs w:val="20"/>
        </w:rPr>
        <w:t xml:space="preserve">30200000-1 Computer equipment and supplies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General information</w:t>
      </w:r>
    </w:p>
    <w:p>
      <w:pPr>
        <w:spacing w:after="40"/>
      </w:pPr>
      <w:r>
        <w:rPr>
          <w:b/>
          <w:bCs/>
          <w:sz w:val="20"/>
          <w:szCs w:val="20"/>
        </w:rPr>
        <w:t xml:space="preserve">Legal basis: </w:t>
      </w:r>
      <w:r>
        <w:rPr>
          <w:sz w:val="20"/>
          <w:szCs w:val="20"/>
        </w:rPr>
        <w:t xml:space="preserve"/>
      </w:r>
    </w:p>
    <w:p>
      <w:pPr>
        <w:spacing w:after="60"/>
      </w:pPr>
      <w:r>
        <w:rPr>
          <w:sz w:val="20"/>
          <w:szCs w:val="20"/>
        </w:rPr>
        <w:t xml:space="preserve">– Regulation (EU, Euratom) 2018/1046 of the European Parliament and of the Council of 18 July 2018 on the financial rules applicable to the general budget of the Union, as amended;</w:t>
      </w:r>
    </w:p>
    <w:p>
      <w:pPr>
        <w:spacing w:after="60"/>
      </w:pPr>
      <w:r>
        <w:rPr>
          <w:sz w:val="20"/>
          <w:szCs w:val="20"/>
        </w:rPr>
        <w:t xml:space="preserve">– Local law - Procurement award procedure applying to European Union external actions financed from the general budget of the European Union and the European Development Fund;</w:t>
      </w:r>
    </w:p>
    <w:p>
      <w:pPr>
        <w:spacing w:after="60"/>
      </w:pPr>
      <w:r>
        <w:rPr>
          <w:sz w:val="20"/>
          <w:szCs w:val="20"/>
        </w:rPr>
        <w:t xml:space="preserve">– Annex II of the Financing Agreement signed for the programme “(Interreg VI-A) IPA Bulgaria Serbia”, for the beneficiaries from Serbia;</w:t>
      </w:r>
    </w:p>
    <w:p>
      <w:pPr>
        <w:spacing w:after="60"/>
      </w:pPr>
      <w:r>
        <w:rPr>
          <w:sz w:val="20"/>
          <w:szCs w:val="20"/>
        </w:rPr>
        <w:t xml:space="preserve">– Chapter 3, Title VII, Part I of Regulation (EU, Euratom) 2024/2509 and Chapter III of Annex I of the same regulation;</w:t>
      </w:r>
    </w:p>
    <w:p>
      <w:pPr>
        <w:spacing w:after="60"/>
      </w:pPr>
      <w:r>
        <w:rPr>
          <w:sz w:val="20"/>
          <w:szCs w:val="20"/>
        </w:rPr>
        <w:t xml:space="preserve">– Practical Guide on contract procedures for European Union external action (PRAG);</w:t>
      </w:r>
    </w:p>
    <w:p>
      <w:pPr>
        <w:spacing w:after="60"/>
      </w:pPr>
      <w:r>
        <w:rPr>
          <w:sz w:val="20"/>
          <w:szCs w:val="20"/>
        </w:rPr>
        <w:t xml:space="preserve">– “Procurement procedures” section of the Project Implementation Manual of (Interreg VI-A) IPA Bulgaria Serbia.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2.1.6. Grounds for exclusion</w:t>
      </w:r>
    </w:p>
    <w:p>
      <w:pPr>
        <w:spacing w:after="40"/>
      </w:pPr>
      <w:r>
        <w:rPr>
          <w:b/>
          <w:bCs/>
          <w:sz w:val="20"/>
          <w:szCs w:val="20"/>
        </w:rPr>
        <w:t xml:space="preserve">Description: </w:t>
      </w:r>
      <w:r>
        <w:rPr>
          <w:sz w:val="20"/>
          <w:szCs w:val="20"/>
        </w:rPr>
        <w:t xml:space="preserve">Please consult the procurement documents.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 Lot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This contract is divided into lots: </w:t>
      </w:r>
      <w:r>
        <w:rPr>
          <w:sz w:val="20"/>
          <w:szCs w:val="20"/>
        </w:rPr>
        <w:t xml:space="preserve">yes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Tenders may be submitted for: </w:t>
      </w:r>
      <w:r>
        <w:rPr>
          <w:sz w:val="20"/>
          <w:szCs w:val="20"/>
        </w:rPr>
        <w:t xml:space="preserve">all lots (one or more lots)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5.1. Information per lot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Title: </w:t>
      </w:r>
      <w:r>
        <w:rPr>
          <w:sz w:val="20"/>
          <w:szCs w:val="20"/>
        </w:rPr>
        <w:t>Lot No 1 - Racks and UPS equipment</w:t>
      </w:r>
    </w:p>
    <w:p>
      <w:pPr>
        <w:spacing w:after="60"/>
      </w:pPr>
      <w:r>
        <w:rPr>
          <w:sz w:val="20"/>
          <w:szCs w:val="20"/>
        </w:rPr>
        <w:t xml:space="preserve">Short description: Supply, delivery and installation of data-centre physical infrastructure and backup power equipment. Indicative volume: 2 × 20 kVA (400 V, 3:1) online double-conversion UPS units operating in a redundant configuration and together supplying all three racks, with parallel operation kit, battery strings and rack ATS; 2 × network management cards; 3 × 42U rack cabinets; 3 × networked (SNMP) metered PDUs; 3 × environmental monitors; 2 × temperature/humidity sensors; plus cabling, installation, user training and commissioning at the NINET data centre in Niš.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Title: </w:t>
      </w:r>
      <w:r>
        <w:rPr>
          <w:sz w:val="20"/>
          <w:szCs w:val="20"/>
        </w:rPr>
        <w:t>Lot No 2 - Virtualisation equipment</w:t>
      </w:r>
    </w:p>
    <w:p>
      <w:pPr>
        <w:spacing w:after="60"/>
      </w:pPr>
      <w:r>
        <w:rPr>
          <w:sz w:val="20"/>
          <w:szCs w:val="20"/>
        </w:rPr>
        <w:t xml:space="preserve">Short description: Supply, delivery and installation of the virtualisation platform. Indicative volume: 6 × 1U compute nodes; 1 × dual-redundant data storage system; 1 × dual-stack network switch (≥ 48×10 GbE + 4×40 GbE); plus delivery, installation, administrator training and commissioning at the NINET data centre in Niš. All equipment must be new and unused.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5.1.1. Purpose</w:t>
      </w:r>
    </w:p>
    <w:p>
      <w:pPr>
        <w:spacing w:after="40"/>
      </w:pPr>
      <w:r>
        <w:rPr>
          <w:b/>
          <w:bCs/>
          <w:sz w:val="20"/>
          <w:szCs w:val="20"/>
        </w:rPr>
        <w:t xml:space="preserve">Nature of the contract: </w:t>
      </w:r>
      <w:r>
        <w:rPr>
          <w:sz w:val="20"/>
          <w:szCs w:val="20"/>
        </w:rPr>
        <w:t xml:space="preserve">Supplies</w:t>
      </w:r>
    </w:p>
    <w:p>
      <w:pPr>
        <w:spacing w:after="40"/>
      </w:pPr>
      <w:r>
        <w:rPr>
          <w:b/>
          <w:bCs/>
          <w:sz w:val="20"/>
          <w:szCs w:val="20"/>
        </w:rPr>
        <w:t xml:space="preserve">Main classification (CPV code): </w:t>
      </w:r>
      <w:r>
        <w:rPr>
          <w:sz w:val="20"/>
          <w:szCs w:val="20"/>
        </w:rPr>
        <w:t xml:space="preserve"/>
      </w:r>
    </w:p>
    <w:p>
      <w:pPr>
        <w:spacing w:after="60"/>
      </w:pPr>
      <w:r>
        <w:rPr>
          <w:sz w:val="20"/>
          <w:szCs w:val="20"/>
        </w:rPr>
        <w:t xml:space="preserve">Lot 1: 31154000-0 Uninterruptible power supplies (supplementary: 30200000-1 Computer equipment and supplies)</w:t>
      </w:r>
    </w:p>
    <w:p>
      <w:pPr>
        <w:spacing w:after="60"/>
      </w:pPr>
      <w:r>
        <w:rPr>
          <w:sz w:val="20"/>
          <w:szCs w:val="20"/>
        </w:rPr>
        <w:t xml:space="preserve">Lot 2: 48820000-2 Servers (supplementary: 30233000-1 Storage and reader devices; 32420000-3 Network equipment)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5.1.2. Place of performance</w:t>
      </w:r>
    </w:p>
    <w:p>
      <w:pPr>
        <w:spacing w:after="40"/>
      </w:pPr>
      <w:r>
        <w:rPr>
          <w:b/>
          <w:bCs/>
          <w:sz w:val="20"/>
          <w:szCs w:val="20"/>
        </w:rPr>
        <w:t xml:space="preserve">Country/Geographical zone: </w:t>
      </w:r>
      <w:r>
        <w:rPr>
          <w:sz w:val="20"/>
          <w:szCs w:val="20"/>
        </w:rPr>
        <w:t xml:space="preserve">Republic of Serbia</w:t>
      </w:r>
    </w:p>
    <w:p>
      <w:pPr>
        <w:spacing w:after="40"/>
      </w:pPr>
      <w:r>
        <w:rPr>
          <w:b/>
          <w:bCs/>
          <w:sz w:val="20"/>
          <w:szCs w:val="20"/>
        </w:rPr>
        <w:t xml:space="preserve">Place: </w:t>
      </w:r>
      <w:r>
        <w:rPr>
          <w:sz w:val="20"/>
          <w:szCs w:val="20"/>
        </w:rPr>
        <w:t xml:space="preserve">NINET data centre, Bulevar Nemanjića 25, TC Zona 3 lok. K6, 18000 Niš, Serbia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5.1.3. Estimated duration</w:t>
      </w:r>
    </w:p>
    <w:p>
      <w:pPr>
        <w:spacing w:after="60"/>
      </w:pPr>
      <w:r>
        <w:rPr>
          <w:sz w:val="20"/>
          <w:szCs w:val="20"/>
        </w:rPr>
        <w:t xml:space="preserve">Duration: up to 30 days for Lot 1 and up to 90 days for Lot 2 (delivery, installation and commissioning, from the date of entry into force of the contract).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5.1.6. General information</w:t>
      </w:r>
    </w:p>
    <w:p>
      <w:pPr>
        <w:spacing w:after="40"/>
      </w:pPr>
      <w:r>
        <w:rPr>
          <w:b/>
          <w:bCs/>
          <w:sz w:val="20"/>
          <w:szCs w:val="20"/>
        </w:rPr>
        <w:t xml:space="preserve">Reserved participation: </w:t>
      </w:r>
      <w:r>
        <w:rPr>
          <w:sz w:val="20"/>
          <w:szCs w:val="20"/>
        </w:rPr>
        <w:t xml:space="preserve">none.</w:t>
      </w:r>
    </w:p>
    <w:p>
      <w:pPr>
        <w:spacing w:after="60"/>
      </w:pPr>
      <w:r>
        <w:rPr>
          <w:sz w:val="20"/>
          <w:szCs w:val="20"/>
        </w:rPr>
        <w:t xml:space="preserve">Procurement project co-funded with EU funds under the (Interreg VI-A) IPA Bulgaria–Serbia programme.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5.1.9. Selection criteria</w:t>
      </w:r>
    </w:p>
    <w:p>
      <w:pPr>
        <w:spacing w:after="60"/>
      </w:pPr>
      <w:r>
        <w:rPr>
          <w:sz w:val="20"/>
          <w:szCs w:val="20"/>
        </w:rPr>
        <w:t xml:space="preserve">Type: suitability to pursue the professional activity - Description: enrolment in the professional or trade register. See the Additional information about the contract notice (a5f).</w:t>
      </w:r>
    </w:p>
    <w:p>
      <w:pPr>
        <w:spacing w:after="60"/>
      </w:pPr>
      <w:r>
        <w:rPr>
          <w:sz w:val="20"/>
          <w:szCs w:val="20"/>
        </w:rPr>
        <w:t xml:space="preserve">Type: economic and financial standing - Description: minimum average annual turnover of the last 2 closed financial years: EUR 40 000 (Lot 1), EUR 80 000 (Lot 2), EUR 120 000 (both lots). See a5f.</w:t>
      </w:r>
    </w:p>
    <w:p>
      <w:pPr>
        <w:spacing w:after="60"/>
      </w:pPr>
      <w:r>
        <w:rPr>
          <w:sz w:val="20"/>
          <w:szCs w:val="20"/>
        </w:rPr>
        <w:t xml:space="preserve">Type: technical and professional ability - Description: at least one comparable supply contract delivered in the last 3 years, per lot. See a5f.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5.1.10. Award criteria</w:t>
      </w:r>
    </w:p>
    <w:p>
      <w:pPr>
        <w:spacing w:after="60"/>
      </w:pPr>
      <w:r>
        <w:rPr>
          <w:sz w:val="20"/>
          <w:szCs w:val="20"/>
        </w:rPr>
        <w:t xml:space="preserve">Type: Price - Description: The award criterion applied to technically compliant tenders is the lowest price. Award is made per lot.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5.1.11. Procurement documents</w:t>
      </w:r>
    </w:p>
    <w:p>
      <w:pPr>
        <w:spacing w:after="40"/>
      </w:pPr>
      <w:r>
        <w:rPr>
          <w:b/>
          <w:bCs/>
          <w:sz w:val="20"/>
          <w:szCs w:val="20"/>
        </w:rPr>
        <w:t xml:space="preserve">Languages in which the procurement documents are officially available: </w:t>
      </w:r>
      <w:r>
        <w:rPr>
          <w:sz w:val="20"/>
          <w:szCs w:val="20"/>
        </w:rPr>
        <w:t xml:space="preserve">English</w:t>
      </w:r>
    </w:p>
    <w:p>
      <w:pPr>
        <w:spacing w:after="40"/>
      </w:pPr>
      <w:r>
        <w:rPr>
          <w:b/>
          <w:bCs/>
          <w:sz w:val="20"/>
          <w:szCs w:val="20"/>
        </w:rPr>
        <w:t>The procurement documents are available at: the (Interreg VI-A) IPA Bulgaria–Serbia programme website (https://ipa-bgrs.mrrb.bg) and at https://ninet.rs/ipa-bulgaria-serbia. The summary contract notice is also published in the local press.</w:t>
      </w:r>
      <w:r>
        <w:rPr>
          <w:sz w:val="20"/>
          <w:szCs w:val="20"/>
        </w:rPr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5.1.12. Terms of procurement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Terms of submission: </w:t>
      </w:r>
      <w:r>
        <w:rPr>
          <w:sz w:val="20"/>
          <w:szCs w:val="20"/>
        </w:rPr>
        <w:t xml:space="preserve">Paper submission (sealed envelopes), as specified in the instructions to tenderers.</w:t>
      </w:r>
    </w:p>
    <w:p>
      <w:pPr>
        <w:spacing w:after="40"/>
      </w:pPr>
      <w:r>
        <w:rPr>
          <w:b/>
          <w:bCs/>
          <w:sz w:val="20"/>
          <w:szCs w:val="20"/>
        </w:rPr>
        <w:t xml:space="preserve">Electronic submission: </w:t>
      </w:r>
      <w:r>
        <w:rPr>
          <w:sz w:val="20"/>
          <w:szCs w:val="20"/>
        </w:rPr>
        <w:t xml:space="preserve">Not allowed. eSubmission is available only for procedures in direct management; this procedure is in indirect management (PRAG).</w:t>
      </w:r>
    </w:p>
    <w:p>
      <w:pPr>
        <w:spacing w:after="40"/>
      </w:pPr>
      <w:r>
        <w:rPr>
          <w:b/>
          <w:bCs/>
          <w:sz w:val="20"/>
          <w:szCs w:val="20"/>
        </w:rPr>
        <w:t xml:space="preserve">Languages in which tenders may be submitted: </w:t>
      </w:r>
      <w:r>
        <w:rPr>
          <w:sz w:val="20"/>
          <w:szCs w:val="20"/>
        </w:rPr>
        <w:t xml:space="preserve">English</w:t>
      </w:r>
    </w:p>
    <w:p>
      <w:pPr>
        <w:spacing w:after="40"/>
      </w:pPr>
      <w:r>
        <w:rPr>
          <w:b/>
          <w:bCs/>
          <w:sz w:val="20"/>
          <w:szCs w:val="20"/>
        </w:rPr>
        <w:t xml:space="preserve">Date of publication: </w:t>
      </w:r>
      <w:r>
        <w:rPr>
          <w:sz w:val="20"/>
          <w:szCs w:val="20"/>
        </w:rPr>
        <w:t>Thursday, 30 July 2026</w:t>
      </w:r>
    </w:p>
    <w:p>
      <w:pPr>
        <w:spacing w:after="40"/>
      </w:pPr>
      <w:r>
        <w:rPr>
          <w:b/>
          <w:bCs/>
          <w:sz w:val="20"/>
          <w:szCs w:val="20"/>
        </w:rPr>
        <w:t xml:space="preserve">Deadline for receipt of tenders - Date: </w:t>
      </w:r>
      <w:r>
        <w:rPr>
          <w:sz w:val="20"/>
          <w:szCs w:val="20"/>
        </w:rPr>
        <w:t>Friday, 4 September 2026</w:t>
      </w:r>
    </w:p>
    <w:p>
      <w:pPr>
        <w:spacing w:after="40"/>
      </w:pPr>
      <w:r>
        <w:rPr>
          <w:b/>
          <w:bCs/>
          <w:sz w:val="20"/>
          <w:szCs w:val="20"/>
        </w:rPr>
        <w:t xml:space="preserve">Local time: </w:t>
      </w:r>
      <w:r>
        <w:rPr>
          <w:sz w:val="20"/>
          <w:szCs w:val="20"/>
        </w:rPr>
        <w:t xml:space="preserve">15:00 h (CET)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Tender opening session</w:t>
      </w:r>
    </w:p>
    <w:p>
      <w:pPr>
        <w:spacing w:after="40"/>
      </w:pPr>
      <w:r>
        <w:rPr>
          <w:b/>
          <w:bCs/>
          <w:sz w:val="20"/>
          <w:szCs w:val="20"/>
        </w:rPr>
        <w:t xml:space="preserve">Date: </w:t>
      </w:r>
      <w:r>
        <w:rPr>
          <w:sz w:val="20"/>
          <w:szCs w:val="20"/>
        </w:rPr>
        <w:t>Monday, 7 September 2026</w:t>
      </w:r>
    </w:p>
    <w:p>
      <w:pPr>
        <w:spacing w:after="40"/>
      </w:pPr>
      <w:r>
        <w:rPr>
          <w:b/>
          <w:bCs/>
          <w:sz w:val="20"/>
          <w:szCs w:val="20"/>
        </w:rPr>
        <w:t xml:space="preserve">Local time: </w:t>
      </w:r>
      <w:r>
        <w:rPr>
          <w:sz w:val="20"/>
          <w:szCs w:val="20"/>
        </w:rPr>
        <w:t xml:space="preserve">11:00 h (CET)</w:t>
      </w:r>
    </w:p>
    <w:p>
      <w:pPr>
        <w:spacing w:after="40"/>
      </w:pPr>
      <w:r>
        <w:rPr>
          <w:b/>
          <w:bCs/>
          <w:sz w:val="20"/>
          <w:szCs w:val="20"/>
        </w:rPr>
        <w:t xml:space="preserve">Venue: </w:t>
      </w:r>
      <w:r>
        <w:rPr>
          <w:sz w:val="20"/>
          <w:szCs w:val="20"/>
        </w:rPr>
        <w:t xml:space="preserve">Ninet Company d.o.o. (headquarters), Bulevar Nemanjića 25, TC Zona 3 lok. K6, 18000 Niš, Serbia</w:t>
      </w:r>
    </w:p>
    <w:p>
      <w:pPr>
        <w:spacing w:after="60"/>
      </w:pPr>
      <w:r>
        <w:rPr>
          <w:sz w:val="20"/>
          <w:szCs w:val="20"/>
        </w:rPr>
        <w:t xml:space="preserve">The opening session is public. Tenderers wishing to attend must send a request by email to ipabgsr@ninet.rs no later than two working days before the session; a maximum of two representatives per tender may attend.</w:t>
      </w:r>
    </w:p>
    <w:p>
      <w:pPr>
        <w:spacing w:after="40"/>
      </w:pPr>
      <w:r>
        <w:rPr>
          <w:b/>
          <w:bCs/>
          <w:sz w:val="20"/>
          <w:szCs w:val="20"/>
        </w:rPr>
        <w:t xml:space="preserve">Deadline until which the tender must remain valid: </w:t>
      </w:r>
      <w:r>
        <w:rPr>
          <w:sz w:val="20"/>
          <w:szCs w:val="20"/>
        </w:rPr>
        <w:t xml:space="preserve">90 days from the date of the deadline for receipt of tenders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Terms of contract: </w:t>
      </w:r>
      <w:r>
        <w:rPr>
          <w:sz w:val="20"/>
          <w:szCs w:val="20"/>
        </w:rPr>
        <w:t xml:space="preserve">As per the Special, Main and General Conditions</w:t>
      </w:r>
    </w:p>
    <w:p>
      <w:pPr>
        <w:spacing w:after="40"/>
      </w:pPr>
      <w:r>
        <w:rPr>
          <w:b/>
          <w:bCs/>
          <w:sz w:val="20"/>
          <w:szCs w:val="20"/>
        </w:rPr>
        <w:t xml:space="preserve">Electronic invoicing: </w:t>
      </w:r>
      <w:r>
        <w:rPr>
          <w:sz w:val="20"/>
          <w:szCs w:val="20"/>
        </w:rPr>
        <w:t xml:space="preserve">allowed.</w:t>
      </w:r>
    </w:p>
    <w:p>
      <w:pPr>
        <w:spacing w:after="60"/>
      </w:pPr>
      <w:r>
        <w:rPr>
          <w:sz w:val="20"/>
          <w:szCs w:val="20"/>
        </w:rPr>
        <w:t xml:space="preserve">Electronic payment will be used.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8. Organisation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8.1 ORG-0001</w:t>
      </w:r>
    </w:p>
    <w:p>
      <w:pPr>
        <w:spacing w:after="40"/>
      </w:pPr>
      <w:r>
        <w:rPr>
          <w:b/>
          <w:bCs/>
          <w:sz w:val="20"/>
          <w:szCs w:val="20"/>
        </w:rPr>
        <w:t xml:space="preserve">Official name: </w:t>
      </w:r>
      <w:r>
        <w:rPr>
          <w:sz w:val="20"/>
          <w:szCs w:val="20"/>
        </w:rPr>
        <w:t xml:space="preserve">Ninet Company d.o.o.</w:t>
      </w:r>
    </w:p>
    <w:p>
      <w:pPr>
        <w:spacing w:after="40"/>
      </w:pPr>
      <w:r>
        <w:rPr>
          <w:b/>
          <w:bCs/>
          <w:sz w:val="20"/>
          <w:szCs w:val="20"/>
        </w:rPr>
        <w:t xml:space="preserve">Registration number: </w:t>
      </w:r>
      <w:r>
        <w:rPr>
          <w:sz w:val="20"/>
          <w:szCs w:val="20"/>
        </w:rPr>
        <w:t xml:space="preserve">17499114 (PIB 102876366)</w:t>
      </w:r>
    </w:p>
    <w:p>
      <w:pPr>
        <w:spacing w:after="40"/>
      </w:pPr>
      <w:r>
        <w:rPr>
          <w:b/>
          <w:bCs/>
          <w:sz w:val="20"/>
          <w:szCs w:val="20"/>
        </w:rPr>
        <w:t xml:space="preserve">Street: </w:t>
      </w:r>
      <w:r>
        <w:rPr>
          <w:sz w:val="20"/>
          <w:szCs w:val="20"/>
        </w:rPr>
        <w:t xml:space="preserve">Bulevar Nemanjića 25, TC Zona 3 lok. K6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Town: </w:t>
      </w:r>
      <w:r>
        <w:rPr>
          <w:sz w:val="20"/>
          <w:szCs w:val="20"/>
        </w:rPr>
        <w:t xml:space="preserve">Niš</w:t>
      </w:r>
    </w:p>
    <w:p>
      <w:pPr>
        <w:spacing w:after="40"/>
      </w:pPr>
      <w:r>
        <w:rPr>
          <w:b/>
          <w:bCs/>
          <w:sz w:val="20"/>
          <w:szCs w:val="20"/>
        </w:rPr>
        <w:t xml:space="preserve">Postcode: </w:t>
      </w:r>
      <w:r>
        <w:rPr>
          <w:sz w:val="20"/>
          <w:szCs w:val="20"/>
        </w:rPr>
        <w:t xml:space="preserve">18000</w:t>
      </w:r>
    </w:p>
    <w:p>
      <w:pPr>
        <w:spacing w:after="40"/>
      </w:pPr>
      <w:r>
        <w:rPr>
          <w:b/>
          <w:bCs/>
          <w:sz w:val="20"/>
          <w:szCs w:val="20"/>
        </w:rPr>
        <w:t xml:space="preserve">Country: </w:t>
      </w:r>
      <w:r>
        <w:rPr>
          <w:sz w:val="20"/>
          <w:szCs w:val="20"/>
        </w:rPr>
        <w:t xml:space="preserve">Serbia</w:t>
      </w:r>
    </w:p>
    <w:p>
      <w:pPr>
        <w:spacing w:after="40"/>
      </w:pPr>
      <w:r>
        <w:rPr>
          <w:b/>
          <w:bCs/>
          <w:sz w:val="20"/>
          <w:szCs w:val="20"/>
        </w:rPr>
        <w:t xml:space="preserve">Contact person: </w:t>
      </w:r>
      <w:r>
        <w:rPr>
          <w:sz w:val="20"/>
          <w:szCs w:val="20"/>
        </w:rPr>
        <w:t xml:space="preserve">Nebojša Simić</w:t>
      </w:r>
    </w:p>
    <w:p>
      <w:pPr>
        <w:spacing w:after="40"/>
      </w:pPr>
      <w:r>
        <w:rPr>
          <w:b/>
          <w:bCs/>
          <w:sz w:val="20"/>
          <w:szCs w:val="20"/>
        </w:rPr>
        <w:t xml:space="preserve">Email: </w:t>
      </w:r>
      <w:r>
        <w:rPr>
          <w:sz w:val="20"/>
          <w:szCs w:val="20"/>
        </w:rPr>
        <w:t xml:space="preserve">ipabgsr@ninet.rs</w:t>
      </w:r>
    </w:p>
    <w:p>
      <w:pPr>
        <w:spacing w:after="40"/>
      </w:pPr>
      <w:r>
        <w:rPr>
          <w:b/>
          <w:bCs/>
          <w:sz w:val="20"/>
          <w:szCs w:val="20"/>
        </w:rPr>
        <w:t xml:space="preserve">Internet address: </w:t>
      </w:r>
      <w:r>
        <w:rPr>
          <w:sz w:val="20"/>
          <w:szCs w:val="20"/>
        </w:rPr>
        <w:t xml:space="preserve">https://ninet.rs/ipa-bulgaria-serbia</w:t>
      </w:r>
    </w:p>
    <w:p>
      <w:pPr>
        <w:spacing w:after="40"/>
      </w:pPr>
      <w:r>
        <w:rPr>
          <w:b/>
          <w:bCs/>
          <w:sz w:val="20"/>
          <w:szCs w:val="20"/>
        </w:rPr>
        <w:t xml:space="preserve">Roles of this organisation: </w:t>
      </w:r>
      <w:r>
        <w:rPr>
          <w:sz w:val="20"/>
          <w:szCs w:val="20"/>
        </w:rPr>
        <w:t xml:space="preserve">Buyer (“Buyer” in this context refers to the contracting authority)</w:t>
      </w:r>
    </w:p>
    <w:p>
      <w:pPr>
        <w:spacing w:after="60" w:before="140"/>
      </w:pPr>
      <w:r>
        <w:rPr>
          <w:b/>
          <w:bCs/>
          <w:sz w:val="21"/>
          <w:szCs w:val="21"/>
        </w:rPr>
        <w:t xml:space="preserve">8.2 ORG-0002</w:t>
      </w:r>
    </w:p>
    <w:p>
      <w:pPr>
        <w:spacing w:after="40"/>
      </w:pPr>
      <w:r>
        <w:rPr>
          <w:b/>
          <w:bCs/>
          <w:sz w:val="20"/>
          <w:szCs w:val="20"/>
        </w:rPr>
        <w:t xml:space="preserve">Official name: </w:t>
      </w:r>
      <w:r>
        <w:rPr>
          <w:sz w:val="20"/>
          <w:szCs w:val="20"/>
        </w:rPr>
        <w:t xml:space="preserve">Commercial Court in Niš (Privredni sud u Nišu)</w:t>
      </w:r>
    </w:p>
    <w:p>
      <w:pPr>
        <w:spacing w:after="40"/>
      </w:pPr>
      <w:r>
        <w:rPr>
          <w:b/>
          <w:bCs/>
          <w:sz w:val="20"/>
          <w:szCs w:val="20"/>
        </w:rPr>
        <w:t xml:space="preserve">Town: </w:t>
      </w:r>
      <w:r>
        <w:rPr>
          <w:sz w:val="20"/>
          <w:szCs w:val="20"/>
        </w:rPr>
        <w:t xml:space="preserve">Niš</w:t>
      </w:r>
    </w:p>
    <w:p>
      <w:pPr>
        <w:spacing w:after="40"/>
      </w:pPr>
      <w:r>
        <w:rPr>
          <w:b/>
          <w:bCs/>
          <w:sz w:val="20"/>
          <w:szCs w:val="20"/>
        </w:rPr>
        <w:t xml:space="preserve">Country: </w:t>
      </w:r>
      <w:r>
        <w:rPr>
          <w:sz w:val="20"/>
          <w:szCs w:val="20"/>
        </w:rPr>
        <w:t xml:space="preserve">Serbia</w:t>
      </w:r>
    </w:p>
    <w:p>
      <w:pPr>
        <w:spacing w:after="40"/>
      </w:pPr>
      <w:r>
        <w:rPr>
          <w:b/>
          <w:bCs/>
          <w:sz w:val="20"/>
          <w:szCs w:val="20"/>
        </w:rPr>
        <w:t xml:space="preserve">Roles of this organisation: </w:t>
      </w:r>
      <w:r>
        <w:rPr>
          <w:sz w:val="20"/>
          <w:szCs w:val="20"/>
        </w:rPr>
        <w:t xml:space="preserve">Review organisation</w:t>
      </w:r>
    </w:p>
    <w:sectPr>
      <w:footerReference w:type="default" r:id="rId7"/>
      <w:headerReference w:type="default" r:id="rId9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BBBBBB" w:sz="4" w:space="4"/>
      </w:pBdr>
      <w:tabs>
        <w:tab w:val="right" w:pos="9026"/>
      </w:tabs>
    </w:pPr>
    <w:r>
      <w:rPr>
        <w:sz w:val="14"/>
        <w:szCs w:val="14"/>
      </w:rPr>
      <w:t xml:space="preserve">Contract Notice - NINET Local Open Tender (a5e)</w:t>
    </w:r>
    <w:r>
      <w:rPr>
        <w:sz w:val="14"/>
        <w:szCs w:val="14"/>
      </w:rPr>
      <w:t xml:space="preserve">	Page </w:t>
    </w:r>
    <w:r>
      <w:rPr>
        <w:sz w:val="14"/>
        <w:szCs w:val="14"/>
      </w:rPr>
      <w:fldChar w:fldCharType="begin"/>
      <w:instrText xml:space="preserve">PAGE</w:instrText>
      <w:fldChar w:fldCharType="separate"/>
      <w:fldChar w:fldCharType="end"/>
    </w:r>
    <w:r>
      <w:rPr>
        <w:sz w:val="14"/>
        <w:szCs w:val="14"/>
      </w:rPr>
      <w:t xml:space="preserve"> of </w:t>
    </w:r>
    <w:r>
      <w:rPr>
        <w:sz w:val="14"/>
        <w:szCs w:val="14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drawing>
        <wp:inline xmlns:a="http://schemas.openxmlformats.org/drawingml/2006/main" xmlns:pic="http://schemas.openxmlformats.org/drawingml/2006/picture">
          <wp:extent cx="2103120" cy="634362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IPA - Interreg logo BG-RS_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03120" cy="634362"/>
                  </a:xfrm>
                  <a:prstGeom prst="rect"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header" Target="header1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jp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Ninet Company d.o.o.</dc:creator>
  <cp:lastModifiedBy>Ninet Company d.o.o.</cp:lastModifiedBy>
  <cp:revision>1</cp:revision>
  <dcterms:created xsi:type="dcterms:W3CDTF">2026-07-17T11:20:15.102Z</dcterms:created>
  <dcterms:modified xsi:type="dcterms:W3CDTF">2026-07-17T11:20:15.110Z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